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B0CBA" w14:textId="6860CAE5" w:rsidR="003677E1" w:rsidRDefault="003677E1" w:rsidP="005860AC">
      <w:pPr>
        <w:pStyle w:val="NormalWeb"/>
        <w:jc w:val="center"/>
        <w:rPr>
          <w:rFonts w:ascii="Acumin Pro" w:hAnsi="Acumin Pro"/>
          <w:b/>
          <w:bCs/>
        </w:rPr>
      </w:pPr>
      <w:r>
        <w:rPr>
          <w:rFonts w:ascii="Acumin Pro" w:hAnsi="Acumin Pro"/>
          <w:b/>
          <w:bCs/>
        </w:rPr>
        <w:t xml:space="preserve">April </w:t>
      </w:r>
      <w:r w:rsidR="009D4FFE">
        <w:rPr>
          <w:rFonts w:ascii="Acumin Pro" w:hAnsi="Acumin Pro"/>
          <w:b/>
          <w:bCs/>
        </w:rPr>
        <w:t>2</w:t>
      </w:r>
      <w:r w:rsidR="0083691F">
        <w:rPr>
          <w:rFonts w:ascii="Acumin Pro" w:hAnsi="Acumin Pro"/>
          <w:b/>
          <w:bCs/>
        </w:rPr>
        <w:t>2</w:t>
      </w:r>
      <w:r>
        <w:rPr>
          <w:rFonts w:ascii="Acumin Pro" w:hAnsi="Acumin Pro"/>
          <w:b/>
          <w:bCs/>
        </w:rPr>
        <w:t>, 2025</w:t>
      </w:r>
    </w:p>
    <w:p w14:paraId="3653CEFB" w14:textId="4838539E" w:rsidR="003677E1" w:rsidRDefault="003677E1" w:rsidP="003677E1">
      <w:pPr>
        <w:pStyle w:val="NoSpacing"/>
      </w:pPr>
      <w:r>
        <w:t xml:space="preserve">Senator Jesse </w:t>
      </w:r>
      <w:proofErr w:type="spellStart"/>
      <w:r>
        <w:t>Arreguin</w:t>
      </w:r>
      <w:proofErr w:type="spellEnd"/>
      <w:r>
        <w:t>, Chair</w:t>
      </w:r>
    </w:p>
    <w:p w14:paraId="50A12BE2" w14:textId="38788B12" w:rsidR="003677E1" w:rsidRDefault="003677E1" w:rsidP="003677E1">
      <w:pPr>
        <w:pStyle w:val="NoSpacing"/>
      </w:pPr>
      <w:r>
        <w:t>Senate Public Safety Committee</w:t>
      </w:r>
    </w:p>
    <w:p w14:paraId="450D451B" w14:textId="69791A07" w:rsidR="003677E1" w:rsidRDefault="003677E1" w:rsidP="003677E1">
      <w:pPr>
        <w:pStyle w:val="NoSpacing"/>
      </w:pPr>
      <w:r>
        <w:t>1020 N Street, Room 545</w:t>
      </w:r>
    </w:p>
    <w:p w14:paraId="08CDF79D" w14:textId="0CD5F005" w:rsidR="003677E1" w:rsidRPr="003677E1" w:rsidRDefault="003677E1" w:rsidP="003677E1">
      <w:pPr>
        <w:pStyle w:val="NoSpacing"/>
      </w:pPr>
      <w:r>
        <w:t>Sacramento, CA 95814</w:t>
      </w:r>
    </w:p>
    <w:p w14:paraId="031C9299" w14:textId="1FB248AA" w:rsidR="003677E1" w:rsidRPr="003677E1" w:rsidRDefault="003677E1" w:rsidP="008418B7">
      <w:pPr>
        <w:pStyle w:val="NormalWeb"/>
        <w:rPr>
          <w:rFonts w:ascii="Acumin Pro" w:hAnsi="Acumin Pro"/>
          <w:b/>
          <w:u w:val="single"/>
        </w:rPr>
      </w:pPr>
      <w:r>
        <w:rPr>
          <w:rFonts w:ascii="Acumin Pro" w:hAnsi="Acumin Pro"/>
          <w:b/>
        </w:rPr>
        <w:t>Re:</w:t>
      </w:r>
      <w:r>
        <w:rPr>
          <w:rFonts w:ascii="Acumin Pro" w:hAnsi="Acumin Pro"/>
          <w:b/>
        </w:rPr>
        <w:tab/>
      </w:r>
      <w:r>
        <w:rPr>
          <w:rFonts w:ascii="Acumin Pro" w:hAnsi="Acumin Pro"/>
          <w:b/>
          <w:u w:val="single"/>
        </w:rPr>
        <w:t>SB 690 (CIPA Reform) - Support</w:t>
      </w:r>
    </w:p>
    <w:p w14:paraId="034ACCF2" w14:textId="640DFDC6" w:rsidR="00A254A4" w:rsidRDefault="008418B7" w:rsidP="008418B7">
      <w:pPr>
        <w:pStyle w:val="NormalWeb"/>
        <w:rPr>
          <w:rFonts w:ascii="Acumin Pro" w:hAnsi="Acumin Pro"/>
        </w:rPr>
      </w:pPr>
      <w:r w:rsidRPr="003677E1">
        <w:rPr>
          <w:rFonts w:ascii="Acumin Pro" w:hAnsi="Acumin Pro"/>
        </w:rPr>
        <w:t xml:space="preserve">Dear </w:t>
      </w:r>
      <w:proofErr w:type="gramStart"/>
      <w:r w:rsidR="003677E1">
        <w:rPr>
          <w:rFonts w:ascii="Acumin Pro" w:hAnsi="Acumin Pro"/>
        </w:rPr>
        <w:t>Chair</w:t>
      </w:r>
      <w:proofErr w:type="gramEnd"/>
      <w:r w:rsidR="003677E1">
        <w:rPr>
          <w:rFonts w:ascii="Acumin Pro" w:hAnsi="Acumin Pro"/>
        </w:rPr>
        <w:t xml:space="preserve"> Arreguin and Members of the Committee,</w:t>
      </w:r>
    </w:p>
    <w:p w14:paraId="02C4ACCA" w14:textId="177B70DD" w:rsidR="000E0C65" w:rsidRDefault="008418B7" w:rsidP="008418B7">
      <w:pPr>
        <w:pStyle w:val="NormalWeb"/>
        <w:rPr>
          <w:rFonts w:ascii="Acumin Pro" w:hAnsi="Acumin Pro"/>
        </w:rPr>
      </w:pPr>
      <w:r w:rsidRPr="003677E1">
        <w:rPr>
          <w:rFonts w:ascii="Acumin Pro" w:hAnsi="Acumin Pro"/>
        </w:rPr>
        <w:t xml:space="preserve">On behalf of the undersigned organizations, we write in strong </w:t>
      </w:r>
      <w:r w:rsidRPr="00887B35">
        <w:rPr>
          <w:rFonts w:ascii="Acumin Pro" w:hAnsi="Acumin Pro"/>
          <w:b/>
          <w:bCs/>
        </w:rPr>
        <w:t>support</w:t>
      </w:r>
      <w:r w:rsidRPr="003677E1">
        <w:rPr>
          <w:rFonts w:ascii="Acumin Pro" w:hAnsi="Acumin Pro"/>
        </w:rPr>
        <w:t xml:space="preserve"> of </w:t>
      </w:r>
      <w:r w:rsidR="00164D62" w:rsidRPr="00887B35">
        <w:rPr>
          <w:rFonts w:ascii="Acumin Pro" w:hAnsi="Acumin Pro"/>
          <w:b/>
          <w:bCs/>
        </w:rPr>
        <w:t>SB</w:t>
      </w:r>
      <w:r w:rsidRPr="00887B35">
        <w:rPr>
          <w:rFonts w:ascii="Acumin Pro" w:hAnsi="Acumin Pro"/>
          <w:b/>
          <w:bCs/>
        </w:rPr>
        <w:t xml:space="preserve"> 690 (</w:t>
      </w:r>
      <w:r w:rsidR="003677E1" w:rsidRPr="00887B35">
        <w:rPr>
          <w:rFonts w:ascii="Acumin Pro" w:hAnsi="Acumin Pro"/>
          <w:b/>
          <w:bCs/>
        </w:rPr>
        <w:t>Caballero</w:t>
      </w:r>
      <w:r w:rsidRPr="00887B35">
        <w:rPr>
          <w:rFonts w:ascii="Acumin Pro" w:hAnsi="Acumin Pro"/>
          <w:b/>
          <w:bCs/>
        </w:rPr>
        <w:t>)</w:t>
      </w:r>
      <w:r w:rsidR="00164D62">
        <w:rPr>
          <w:rFonts w:ascii="Acumin Pro" w:hAnsi="Acumin Pro"/>
        </w:rPr>
        <w:t>.</w:t>
      </w:r>
      <w:r w:rsidRPr="003677E1">
        <w:rPr>
          <w:rFonts w:ascii="Acumin Pro" w:hAnsi="Acumin Pro"/>
        </w:rPr>
        <w:t xml:space="preserve"> </w:t>
      </w:r>
      <w:r w:rsidR="00164D62">
        <w:rPr>
          <w:rFonts w:ascii="Acumin Pro" w:hAnsi="Acumin Pro"/>
        </w:rPr>
        <w:t>This bill</w:t>
      </w:r>
      <w:r w:rsidR="00164D62" w:rsidRPr="003677E1">
        <w:rPr>
          <w:rFonts w:ascii="Acumin Pro" w:hAnsi="Acumin Pro"/>
        </w:rPr>
        <w:t xml:space="preserve"> </w:t>
      </w:r>
      <w:r w:rsidR="00164D62">
        <w:rPr>
          <w:rFonts w:ascii="Acumin Pro" w:hAnsi="Acumin Pro"/>
        </w:rPr>
        <w:t xml:space="preserve">is necessary </w:t>
      </w:r>
      <w:r w:rsidRPr="003677E1">
        <w:rPr>
          <w:rFonts w:ascii="Acumin Pro" w:hAnsi="Acumin Pro"/>
        </w:rPr>
        <w:t xml:space="preserve">to </w:t>
      </w:r>
      <w:r w:rsidR="00164D62">
        <w:rPr>
          <w:rFonts w:ascii="Acumin Pro" w:hAnsi="Acumin Pro"/>
        </w:rPr>
        <w:t>stop the thousands of shakedown letters and lawsuits against California businesses of all sizes for typical business activities, like website analytics or online advertising</w:t>
      </w:r>
      <w:r w:rsidR="006F782D">
        <w:rPr>
          <w:rFonts w:ascii="Acumin Pro" w:hAnsi="Acumin Pro"/>
        </w:rPr>
        <w:t xml:space="preserve"> that are already governed by the California Consumer Privacy Act (CCPA)</w:t>
      </w:r>
      <w:r w:rsidR="00164D62">
        <w:rPr>
          <w:rFonts w:ascii="Acumin Pro" w:hAnsi="Acumin Pro"/>
        </w:rPr>
        <w:t xml:space="preserve">. </w:t>
      </w:r>
      <w:r w:rsidR="00887B35">
        <w:rPr>
          <w:rFonts w:ascii="Acumin Pro" w:hAnsi="Acumin Pro"/>
        </w:rPr>
        <w:t xml:space="preserve">In </w:t>
      </w:r>
      <w:r w:rsidR="006F782D">
        <w:rPr>
          <w:rFonts w:ascii="Acumin Pro" w:hAnsi="Acumin Pro"/>
        </w:rPr>
        <w:t>the last 18 months, t</w:t>
      </w:r>
      <w:r w:rsidR="00164D62">
        <w:rPr>
          <w:rFonts w:ascii="Acumin Pro" w:hAnsi="Acumin Pro"/>
        </w:rPr>
        <w:t>rial lawyers have sued over 1,</w:t>
      </w:r>
      <w:r w:rsidR="00A553F9">
        <w:rPr>
          <w:rFonts w:ascii="Acumin Pro" w:hAnsi="Acumin Pro"/>
        </w:rPr>
        <w:t>5</w:t>
      </w:r>
      <w:r w:rsidR="00164D62">
        <w:rPr>
          <w:rFonts w:ascii="Acumin Pro" w:hAnsi="Acumin Pro"/>
        </w:rPr>
        <w:t xml:space="preserve">00 businesses </w:t>
      </w:r>
      <w:r w:rsidR="006F782D">
        <w:rPr>
          <w:rFonts w:ascii="Acumin Pro" w:hAnsi="Acumin Pro"/>
        </w:rPr>
        <w:t>using</w:t>
      </w:r>
      <w:r w:rsidR="00164D62">
        <w:rPr>
          <w:rFonts w:ascii="Acumin Pro" w:hAnsi="Acumin Pro"/>
        </w:rPr>
        <w:t xml:space="preserve"> the California Invasion of Privacy Act’s private right of act</w:t>
      </w:r>
      <w:r w:rsidR="000E0C65">
        <w:rPr>
          <w:rFonts w:ascii="Acumin Pro" w:hAnsi="Acumin Pro"/>
        </w:rPr>
        <w:t>ion</w:t>
      </w:r>
      <w:r w:rsidR="006F782D">
        <w:rPr>
          <w:rFonts w:ascii="Acumin Pro" w:hAnsi="Acumin Pro"/>
        </w:rPr>
        <w:t>,</w:t>
      </w:r>
      <w:r w:rsidR="000E0C65">
        <w:rPr>
          <w:rFonts w:ascii="Acumin Pro" w:hAnsi="Acumin Pro"/>
        </w:rPr>
        <w:t xml:space="preserve"> </w:t>
      </w:r>
      <w:r w:rsidR="00164D62">
        <w:rPr>
          <w:rFonts w:ascii="Acumin Pro" w:hAnsi="Acumin Pro"/>
        </w:rPr>
        <w:t xml:space="preserve">arguing that these typical business activities </w:t>
      </w:r>
      <w:r w:rsidR="000E0C65">
        <w:rPr>
          <w:rFonts w:ascii="Acumin Pro" w:hAnsi="Acumin Pro"/>
        </w:rPr>
        <w:t>constitute “wiretapping” or an illegal “pen register,” necessitating “opt-in” consent</w:t>
      </w:r>
      <w:r w:rsidR="00996391">
        <w:rPr>
          <w:rFonts w:ascii="Acumin Pro" w:hAnsi="Acumin Pro"/>
        </w:rPr>
        <w:t xml:space="preserve"> before the business can, for example, save an online shopping cart or show an ad</w:t>
      </w:r>
      <w:r w:rsidR="000E0C65">
        <w:rPr>
          <w:rFonts w:ascii="Acumin Pro" w:hAnsi="Acumin Pro"/>
        </w:rPr>
        <w:t xml:space="preserve">.  </w:t>
      </w:r>
    </w:p>
    <w:p w14:paraId="52517273" w14:textId="15FCD67A" w:rsidR="00164D62" w:rsidRDefault="000E0C65" w:rsidP="008418B7">
      <w:pPr>
        <w:pStyle w:val="NormalWeb"/>
        <w:rPr>
          <w:rFonts w:ascii="Acumin Pro" w:hAnsi="Acumin Pro"/>
        </w:rPr>
      </w:pPr>
      <w:r>
        <w:rPr>
          <w:rFonts w:ascii="Acumin Pro" w:hAnsi="Acumin Pro"/>
        </w:rPr>
        <w:t xml:space="preserve">However, </w:t>
      </w:r>
      <w:r w:rsidR="00887B35">
        <w:rPr>
          <w:rFonts w:ascii="Acumin Pro" w:hAnsi="Acumin Pro"/>
        </w:rPr>
        <w:t xml:space="preserve">in 2018 </w:t>
      </w:r>
      <w:r w:rsidR="006F782D">
        <w:rPr>
          <w:rFonts w:ascii="Acumin Pro" w:hAnsi="Acumin Pro"/>
        </w:rPr>
        <w:t xml:space="preserve">the </w:t>
      </w:r>
      <w:r>
        <w:rPr>
          <w:rFonts w:ascii="Acumin Pro" w:hAnsi="Acumin Pro"/>
        </w:rPr>
        <w:t xml:space="preserve">California </w:t>
      </w:r>
      <w:r w:rsidR="00673FF5">
        <w:rPr>
          <w:rFonts w:ascii="Acumin Pro" w:hAnsi="Acumin Pro"/>
        </w:rPr>
        <w:t>L</w:t>
      </w:r>
      <w:r>
        <w:rPr>
          <w:rFonts w:ascii="Acumin Pro" w:hAnsi="Acumin Pro"/>
        </w:rPr>
        <w:t>egislature specifically</w:t>
      </w:r>
      <w:r w:rsidR="006F782D">
        <w:rPr>
          <w:rFonts w:ascii="Acumin Pro" w:hAnsi="Acumin Pro"/>
        </w:rPr>
        <w:t xml:space="preserve"> and unanimously</w:t>
      </w:r>
      <w:r>
        <w:rPr>
          <w:rFonts w:ascii="Acumin Pro" w:hAnsi="Acumin Pro"/>
        </w:rPr>
        <w:t xml:space="preserve"> decided that these business activities should be </w:t>
      </w:r>
      <w:r w:rsidR="006F782D">
        <w:rPr>
          <w:rFonts w:ascii="Acumin Pro" w:hAnsi="Acumin Pro"/>
        </w:rPr>
        <w:t xml:space="preserve">regulated </w:t>
      </w:r>
      <w:r>
        <w:rPr>
          <w:rFonts w:ascii="Acumin Pro" w:hAnsi="Acumin Pro"/>
        </w:rPr>
        <w:t xml:space="preserve">by the </w:t>
      </w:r>
      <w:r w:rsidR="006F782D">
        <w:rPr>
          <w:rFonts w:ascii="Acumin Pro" w:hAnsi="Acumin Pro"/>
        </w:rPr>
        <w:t xml:space="preserve">CCPA, </w:t>
      </w:r>
      <w:r>
        <w:rPr>
          <w:rFonts w:ascii="Acumin Pro" w:hAnsi="Acumin Pro"/>
        </w:rPr>
        <w:t xml:space="preserve">which is an “opt-out” consent regime.  </w:t>
      </w:r>
      <w:r w:rsidR="00887B35">
        <w:rPr>
          <w:rFonts w:ascii="Acumin Pro" w:hAnsi="Acumin Pro"/>
        </w:rPr>
        <w:t>In</w:t>
      </w:r>
      <w:r>
        <w:rPr>
          <w:rFonts w:ascii="Acumin Pro" w:hAnsi="Acumin Pro"/>
        </w:rPr>
        <w:t xml:space="preserve"> 2020, the California voters </w:t>
      </w:r>
      <w:r w:rsidR="00025D76">
        <w:rPr>
          <w:rFonts w:ascii="Acumin Pro" w:hAnsi="Acumin Pro"/>
        </w:rPr>
        <w:t>added to</w:t>
      </w:r>
      <w:r>
        <w:rPr>
          <w:rFonts w:ascii="Acumin Pro" w:hAnsi="Acumin Pro"/>
        </w:rPr>
        <w:t xml:space="preserve"> the CCPA</w:t>
      </w:r>
      <w:r w:rsidR="00025D76">
        <w:rPr>
          <w:rFonts w:ascii="Acumin Pro" w:hAnsi="Acumin Pro"/>
        </w:rPr>
        <w:t xml:space="preserve"> via ballot initiative</w:t>
      </w:r>
      <w:r>
        <w:rPr>
          <w:rFonts w:ascii="Acumin Pro" w:hAnsi="Acumin Pro"/>
        </w:rPr>
        <w:t xml:space="preserve">, confirming their support of a system of “opt-out” consent, and </w:t>
      </w:r>
      <w:proofErr w:type="gramStart"/>
      <w:r w:rsidR="00025D76">
        <w:rPr>
          <w:rFonts w:ascii="Acumin Pro" w:hAnsi="Acumin Pro"/>
        </w:rPr>
        <w:t>with it</w:t>
      </w:r>
      <w:proofErr w:type="gramEnd"/>
      <w:r w:rsidR="00025D76">
        <w:rPr>
          <w:rFonts w:ascii="Acumin Pro" w:hAnsi="Acumin Pro"/>
        </w:rPr>
        <w:t xml:space="preserve"> </w:t>
      </w:r>
      <w:r>
        <w:rPr>
          <w:rFonts w:ascii="Acumin Pro" w:hAnsi="Acumin Pro"/>
        </w:rPr>
        <w:t>further limits on data collection and use</w:t>
      </w:r>
      <w:r w:rsidR="00025D76">
        <w:rPr>
          <w:rFonts w:ascii="Acumin Pro" w:hAnsi="Acumin Pro"/>
        </w:rPr>
        <w:t>. The ballot initiative also</w:t>
      </w:r>
      <w:r w:rsidR="00887B35">
        <w:rPr>
          <w:rFonts w:ascii="Acumin Pro" w:hAnsi="Acumin Pro"/>
        </w:rPr>
        <w:t xml:space="preserve"> add</w:t>
      </w:r>
      <w:r w:rsidR="00025D76">
        <w:rPr>
          <w:rFonts w:ascii="Acumin Pro" w:hAnsi="Acumin Pro"/>
        </w:rPr>
        <w:t>ed</w:t>
      </w:r>
      <w:r w:rsidR="00887B35">
        <w:rPr>
          <w:rFonts w:ascii="Acumin Pro" w:hAnsi="Acumin Pro"/>
        </w:rPr>
        <w:t xml:space="preserve"> additional protections for certain categories of </w:t>
      </w:r>
      <w:r w:rsidR="00025D76">
        <w:rPr>
          <w:rFonts w:ascii="Acumin Pro" w:hAnsi="Acumin Pro"/>
        </w:rPr>
        <w:t xml:space="preserve">“sensitive </w:t>
      </w:r>
      <w:r w:rsidR="00887B35">
        <w:rPr>
          <w:rFonts w:ascii="Acumin Pro" w:hAnsi="Acumin Pro"/>
        </w:rPr>
        <w:t>data,</w:t>
      </w:r>
      <w:r w:rsidR="00025D76">
        <w:rPr>
          <w:rFonts w:ascii="Acumin Pro" w:hAnsi="Acumin Pro"/>
        </w:rPr>
        <w:t>”</w:t>
      </w:r>
      <w:r w:rsidR="00887B35">
        <w:rPr>
          <w:rFonts w:ascii="Acumin Pro" w:hAnsi="Acumin Pro"/>
        </w:rPr>
        <w:t xml:space="preserve"> such as health data, location data, and biometric data</w:t>
      </w:r>
      <w:r>
        <w:rPr>
          <w:rFonts w:ascii="Acumin Pro" w:hAnsi="Acumin Pro"/>
        </w:rPr>
        <w:t xml:space="preserve">. </w:t>
      </w:r>
      <w:r w:rsidR="00996391">
        <w:rPr>
          <w:rFonts w:ascii="Acumin Pro" w:hAnsi="Acumin Pro"/>
        </w:rPr>
        <w:t>The newly created California Privacy Protection Agency</w:t>
      </w:r>
      <w:r w:rsidR="004268E3">
        <w:rPr>
          <w:rFonts w:ascii="Acumin Pro" w:hAnsi="Acumin Pro"/>
        </w:rPr>
        <w:t xml:space="preserve"> (Privacy Agency)</w:t>
      </w:r>
      <w:r w:rsidR="00887B35">
        <w:rPr>
          <w:rFonts w:ascii="Acumin Pro" w:hAnsi="Acumin Pro"/>
        </w:rPr>
        <w:t xml:space="preserve"> </w:t>
      </w:r>
      <w:r w:rsidR="00996391">
        <w:rPr>
          <w:rFonts w:ascii="Acumin Pro" w:hAnsi="Acumin Pro"/>
        </w:rPr>
        <w:t xml:space="preserve">has drafted </w:t>
      </w:r>
      <w:r w:rsidR="006F782D">
        <w:rPr>
          <w:rFonts w:ascii="Acumin Pro" w:hAnsi="Acumin Pro"/>
        </w:rPr>
        <w:t xml:space="preserve">over 150 pages </w:t>
      </w:r>
      <w:r w:rsidR="00996391">
        <w:rPr>
          <w:rFonts w:ascii="Acumin Pro" w:hAnsi="Acumin Pro"/>
        </w:rPr>
        <w:t xml:space="preserve">of regulations on how businesses must implement this “opt-out” privacy regime.  </w:t>
      </w:r>
      <w:r w:rsidR="00887B35">
        <w:rPr>
          <w:rFonts w:ascii="Acumin Pro" w:hAnsi="Acumin Pro"/>
        </w:rPr>
        <w:t xml:space="preserve">The </w:t>
      </w:r>
      <w:r w:rsidR="00673FF5">
        <w:rPr>
          <w:rFonts w:ascii="Acumin Pro" w:hAnsi="Acumin Pro"/>
        </w:rPr>
        <w:t>L</w:t>
      </w:r>
      <w:r>
        <w:rPr>
          <w:rFonts w:ascii="Acumin Pro" w:hAnsi="Acumin Pro"/>
        </w:rPr>
        <w:t xml:space="preserve">egislature </w:t>
      </w:r>
      <w:r w:rsidR="00673FF5">
        <w:rPr>
          <w:rFonts w:ascii="Acumin Pro" w:hAnsi="Acumin Pro"/>
        </w:rPr>
        <w:t>is considering further legislation this year</w:t>
      </w:r>
      <w:r>
        <w:rPr>
          <w:rFonts w:ascii="Acumin Pro" w:hAnsi="Acumin Pro"/>
        </w:rPr>
        <w:t xml:space="preserve">. </w:t>
      </w:r>
      <w:r w:rsidR="006F782D">
        <w:rPr>
          <w:rFonts w:ascii="Acumin Pro" w:hAnsi="Acumin Pro"/>
        </w:rPr>
        <w:t xml:space="preserve">Moreover, both the </w:t>
      </w:r>
      <w:r w:rsidR="00755A66">
        <w:rPr>
          <w:rFonts w:ascii="Acumin Pro" w:hAnsi="Acumin Pro"/>
        </w:rPr>
        <w:t xml:space="preserve">Privacy Agency </w:t>
      </w:r>
      <w:r w:rsidR="006F782D">
        <w:rPr>
          <w:rFonts w:ascii="Acumin Pro" w:hAnsi="Acumin Pro"/>
        </w:rPr>
        <w:t>and the Attorney General are empowered to enforce the statute, and the Attorney General’s office has initiated enforcement actions against companies for violating these opt-out requirements.</w:t>
      </w:r>
      <w:r>
        <w:rPr>
          <w:rFonts w:ascii="Acumin Pro" w:hAnsi="Acumin Pro"/>
        </w:rPr>
        <w:t xml:space="preserve"> </w:t>
      </w:r>
      <w:r w:rsidR="006F782D">
        <w:rPr>
          <w:rFonts w:ascii="Acumin Pro" w:hAnsi="Acumin Pro"/>
        </w:rPr>
        <w:t xml:space="preserve">The </w:t>
      </w:r>
      <w:r w:rsidR="00755A66">
        <w:rPr>
          <w:rFonts w:ascii="Acumin Pro" w:hAnsi="Acumin Pro"/>
        </w:rPr>
        <w:t xml:space="preserve">Privacy Agency </w:t>
      </w:r>
      <w:r w:rsidR="006F782D">
        <w:rPr>
          <w:rFonts w:ascii="Acumin Pro" w:hAnsi="Acumin Pro"/>
        </w:rPr>
        <w:t xml:space="preserve">is also sponsoring legislation to further strengthen this opt-out regime. </w:t>
      </w:r>
      <w:r>
        <w:rPr>
          <w:rFonts w:ascii="Acumin Pro" w:hAnsi="Acumin Pro"/>
        </w:rPr>
        <w:t>CIPA, a 1967 criminal wiretapping statute that requires consent before recording phone calls, was never intended to apply to this type of activity.</w:t>
      </w:r>
      <w:r w:rsidR="00673FF5">
        <w:rPr>
          <w:rFonts w:ascii="Acumin Pro" w:hAnsi="Acumin Pro"/>
        </w:rPr>
        <w:t xml:space="preserve">  These lawsuits are unfair and must be stopped.</w:t>
      </w:r>
    </w:p>
    <w:p w14:paraId="19A5081A" w14:textId="1C0CC542" w:rsidR="008418B7" w:rsidRPr="003677E1" w:rsidRDefault="003677E1" w:rsidP="008418B7">
      <w:pPr>
        <w:pStyle w:val="NormalWeb"/>
        <w:rPr>
          <w:rFonts w:ascii="Acumin Pro" w:hAnsi="Acumin Pro"/>
          <w:b/>
          <w:bCs/>
          <w:u w:val="single"/>
        </w:rPr>
      </w:pPr>
      <w:r>
        <w:rPr>
          <w:rFonts w:ascii="Acumin Pro" w:hAnsi="Acumin Pro"/>
          <w:b/>
          <w:bCs/>
          <w:u w:val="single"/>
        </w:rPr>
        <w:lastRenderedPageBreak/>
        <w:t xml:space="preserve">The CCPA </w:t>
      </w:r>
      <w:r w:rsidR="00996391">
        <w:rPr>
          <w:rFonts w:ascii="Acumin Pro" w:hAnsi="Acumin Pro"/>
          <w:b/>
          <w:bCs/>
          <w:u w:val="single"/>
        </w:rPr>
        <w:t>Governs Online Business Activity – Not CIPA</w:t>
      </w:r>
    </w:p>
    <w:p w14:paraId="4FEC2E8A" w14:textId="1886E795" w:rsidR="00673FF5" w:rsidRDefault="00673FF5" w:rsidP="008418B7">
      <w:pPr>
        <w:pStyle w:val="NormalWeb"/>
        <w:rPr>
          <w:rFonts w:ascii="Acumin Pro" w:hAnsi="Acumin Pro"/>
        </w:rPr>
      </w:pPr>
      <w:r>
        <w:rPr>
          <w:rFonts w:ascii="Acumin Pro" w:hAnsi="Acumin Pro"/>
        </w:rPr>
        <w:t>Again, t</w:t>
      </w:r>
      <w:r w:rsidR="008418B7" w:rsidRPr="003677E1">
        <w:rPr>
          <w:rFonts w:ascii="Acumin Pro" w:hAnsi="Acumin Pro"/>
        </w:rPr>
        <w:t xml:space="preserve">he </w:t>
      </w:r>
      <w:r>
        <w:rPr>
          <w:rFonts w:ascii="Acumin Pro" w:hAnsi="Acumin Pro"/>
        </w:rPr>
        <w:t xml:space="preserve">Legislature unanimously passed the </w:t>
      </w:r>
      <w:r w:rsidR="008418B7" w:rsidRPr="003677E1">
        <w:rPr>
          <w:rFonts w:ascii="Acumin Pro" w:hAnsi="Acumin Pro"/>
        </w:rPr>
        <w:t xml:space="preserve">CCPA </w:t>
      </w:r>
      <w:r w:rsidR="003677E1">
        <w:rPr>
          <w:rFonts w:ascii="Acumin Pro" w:hAnsi="Acumin Pro"/>
        </w:rPr>
        <w:t>in 2018</w:t>
      </w:r>
      <w:r w:rsidR="008418B7" w:rsidRPr="003677E1">
        <w:rPr>
          <w:rFonts w:ascii="Acumin Pro" w:hAnsi="Acumin Pro"/>
        </w:rPr>
        <w:t xml:space="preserve"> to govern how businesses collect, use, and share consume</w:t>
      </w:r>
      <w:r w:rsidR="003677E1">
        <w:rPr>
          <w:rFonts w:ascii="Acumin Pro" w:hAnsi="Acumin Pro"/>
        </w:rPr>
        <w:t>rs’ information</w:t>
      </w:r>
      <w:r w:rsidR="008418B7" w:rsidRPr="003677E1">
        <w:rPr>
          <w:rFonts w:ascii="Acumin Pro" w:hAnsi="Acumin Pro"/>
        </w:rPr>
        <w:t xml:space="preserve"> </w:t>
      </w:r>
      <w:r>
        <w:rPr>
          <w:rFonts w:ascii="Acumin Pro" w:hAnsi="Acumin Pro"/>
        </w:rPr>
        <w:t xml:space="preserve">for typical business </w:t>
      </w:r>
      <w:r w:rsidR="003677E1">
        <w:rPr>
          <w:rFonts w:ascii="Acumin Pro" w:hAnsi="Acumin Pro"/>
        </w:rPr>
        <w:t>activity</w:t>
      </w:r>
      <w:r>
        <w:rPr>
          <w:rFonts w:ascii="Acumin Pro" w:hAnsi="Acumin Pro"/>
        </w:rPr>
        <w:t>,</w:t>
      </w:r>
      <w:r w:rsidR="003677E1">
        <w:rPr>
          <w:rFonts w:ascii="Acumin Pro" w:hAnsi="Acumin Pro"/>
        </w:rPr>
        <w:t xml:space="preserve"> such as website analytics and online advertising</w:t>
      </w:r>
      <w:r>
        <w:rPr>
          <w:rFonts w:ascii="Acumin Pro" w:hAnsi="Acumin Pro"/>
        </w:rPr>
        <w:t>, and created an “opt-out” consent privacy regime</w:t>
      </w:r>
      <w:r w:rsidR="003677E1">
        <w:rPr>
          <w:rFonts w:ascii="Acumin Pro" w:hAnsi="Acumin Pro"/>
        </w:rPr>
        <w:t>.</w:t>
      </w:r>
      <w:r>
        <w:rPr>
          <w:rFonts w:ascii="Acumin Pro" w:hAnsi="Acumin Pro"/>
        </w:rPr>
        <w:t xml:space="preserve">  The Legislature considered and declined to follow Europe’s GDPR privacy law’s “opt-in” consent structure because of the cumbersome requirements necessary to click through before visiting every website.  Subsequently, many other states followed California’s first-in-the-nation privacy law.  </w:t>
      </w:r>
      <w:r w:rsidR="003677E1">
        <w:rPr>
          <w:rFonts w:ascii="Acumin Pro" w:hAnsi="Acumin Pro"/>
        </w:rPr>
        <w:t xml:space="preserve"> </w:t>
      </w:r>
    </w:p>
    <w:p w14:paraId="6B348377" w14:textId="0BA46D6E" w:rsidR="008418B7" w:rsidRPr="003677E1" w:rsidRDefault="00673FF5" w:rsidP="008418B7">
      <w:pPr>
        <w:pStyle w:val="NormalWeb"/>
        <w:rPr>
          <w:rFonts w:ascii="Acumin Pro" w:hAnsi="Acumin Pro"/>
        </w:rPr>
      </w:pPr>
      <w:r>
        <w:rPr>
          <w:rFonts w:ascii="Acumin Pro" w:hAnsi="Acumin Pro"/>
        </w:rPr>
        <w:t>Voters strengthened the CCPA</w:t>
      </w:r>
      <w:r w:rsidR="003677E1">
        <w:rPr>
          <w:rFonts w:ascii="Acumin Pro" w:hAnsi="Acumin Pro"/>
        </w:rPr>
        <w:t xml:space="preserve"> in 2020 via ballot initiative to add heightened protections for</w:t>
      </w:r>
      <w:r w:rsidR="008418B7" w:rsidRPr="003677E1">
        <w:rPr>
          <w:rFonts w:ascii="Acumin Pro" w:hAnsi="Acumin Pro"/>
        </w:rPr>
        <w:t xml:space="preserve"> sensitive information such as precise geolocation data and health-related data</w:t>
      </w:r>
      <w:r w:rsidR="003677E1">
        <w:rPr>
          <w:rFonts w:ascii="Acumin Pro" w:hAnsi="Acumin Pro"/>
        </w:rPr>
        <w:t>, and to expand the ability for consumers to use tools to opt-out of the sale/sharing of their personal information</w:t>
      </w:r>
      <w:r w:rsidR="008418B7" w:rsidRPr="003677E1">
        <w:rPr>
          <w:rFonts w:ascii="Acumin Pro" w:hAnsi="Acumin Pro"/>
        </w:rPr>
        <w:t xml:space="preserve">. The law provides a comprehensive regulatory framework that mandates clear notice and opt-out rights for consumers, ensuring that data privacy protections are enforced in a consistent and predictable manner. Businesses that comply with the CCPA follow stringent requirements regarding data collection, retention, and disclosure—yet, </w:t>
      </w:r>
      <w:r>
        <w:rPr>
          <w:rFonts w:ascii="Acumin Pro" w:hAnsi="Acumin Pro"/>
        </w:rPr>
        <w:t xml:space="preserve">due to a handful of trial lawyers </w:t>
      </w:r>
      <w:r w:rsidR="006F782D">
        <w:rPr>
          <w:rFonts w:ascii="Acumin Pro" w:hAnsi="Acumin Pro"/>
        </w:rPr>
        <w:t>subverting</w:t>
      </w:r>
      <w:r>
        <w:rPr>
          <w:rFonts w:ascii="Acumin Pro" w:hAnsi="Acumin Pro"/>
        </w:rPr>
        <w:t xml:space="preserve"> the intent of</w:t>
      </w:r>
      <w:r w:rsidR="003677E1">
        <w:rPr>
          <w:rFonts w:ascii="Acumin Pro" w:hAnsi="Acumin Pro"/>
        </w:rPr>
        <w:t xml:space="preserve"> </w:t>
      </w:r>
      <w:r w:rsidR="008418B7" w:rsidRPr="003677E1">
        <w:rPr>
          <w:rFonts w:ascii="Acumin Pro" w:hAnsi="Acumin Pro"/>
        </w:rPr>
        <w:t>CIPA, they are still being targeted with costly lawsuits for conduct that already falls within the CCPA’s governance.</w:t>
      </w:r>
    </w:p>
    <w:p w14:paraId="771D703A" w14:textId="1FBCD3B9" w:rsidR="00F3243B" w:rsidRPr="003677E1" w:rsidRDefault="008418B7" w:rsidP="00F3243B">
      <w:pPr>
        <w:pStyle w:val="NormalWeb"/>
        <w:rPr>
          <w:rFonts w:ascii="Acumin Pro" w:hAnsi="Acumin Pro"/>
        </w:rPr>
      </w:pPr>
      <w:r w:rsidRPr="003677E1">
        <w:rPr>
          <w:rFonts w:ascii="Acumin Pro" w:hAnsi="Acumin Pro"/>
        </w:rPr>
        <w:t>Moreover, the CCPA is highly specific in its treatment of sensitive data</w:t>
      </w:r>
      <w:r w:rsidR="003677E1">
        <w:rPr>
          <w:rFonts w:ascii="Acumin Pro" w:hAnsi="Acumin Pro"/>
        </w:rPr>
        <w:t>.</w:t>
      </w:r>
      <w:r w:rsidR="00F3243B" w:rsidRPr="003677E1">
        <w:rPr>
          <w:rFonts w:ascii="Acumin Pro" w:hAnsi="Acumin Pro"/>
        </w:rPr>
        <w:t xml:space="preserve"> </w:t>
      </w:r>
      <w:r w:rsidR="003677E1">
        <w:rPr>
          <w:rFonts w:ascii="Acumin Pro" w:hAnsi="Acumin Pro"/>
        </w:rPr>
        <w:t>The</w:t>
      </w:r>
      <w:r w:rsidR="00F3243B" w:rsidRPr="003677E1">
        <w:rPr>
          <w:rFonts w:ascii="Acumin Pro" w:hAnsi="Acumin Pro"/>
        </w:rPr>
        <w:t xml:space="preserve"> CCPA provides consumers with the ability to</w:t>
      </w:r>
      <w:r w:rsidR="003677E1">
        <w:rPr>
          <w:rFonts w:ascii="Acumin Pro" w:hAnsi="Acumin Pro"/>
        </w:rPr>
        <w:t xml:space="preserve"> – and requires businesses to provide tools</w:t>
      </w:r>
      <w:r w:rsidR="00887B35">
        <w:rPr>
          <w:rFonts w:ascii="Acumin Pro" w:hAnsi="Acumin Pro"/>
        </w:rPr>
        <w:t xml:space="preserve"> on their homepage</w:t>
      </w:r>
      <w:r w:rsidR="003677E1">
        <w:rPr>
          <w:rFonts w:ascii="Acumin Pro" w:hAnsi="Acumin Pro"/>
        </w:rPr>
        <w:t xml:space="preserve"> that allow them to -</w:t>
      </w:r>
      <w:r w:rsidR="00F3243B" w:rsidRPr="003677E1">
        <w:rPr>
          <w:rFonts w:ascii="Acumin Pro" w:hAnsi="Acumin Pro"/>
        </w:rPr>
        <w:t xml:space="preserve"> limit the use of their sensitive data, which includes health data, biometric data, and precise geolocation data, offering strong privacy protections tailored to modern digital practices.</w:t>
      </w:r>
      <w:r w:rsidR="00025D76">
        <w:rPr>
          <w:rFonts w:ascii="Acumin Pro" w:hAnsi="Acumin Pro"/>
        </w:rPr>
        <w:t xml:space="preserve"> </w:t>
      </w:r>
    </w:p>
    <w:p w14:paraId="58A46B02" w14:textId="0D3156C2" w:rsidR="008418B7" w:rsidRPr="003677E1" w:rsidRDefault="00025D76" w:rsidP="008418B7">
      <w:pPr>
        <w:pStyle w:val="NormalWeb"/>
        <w:rPr>
          <w:rFonts w:ascii="Acumin Pro" w:hAnsi="Acumin Pro"/>
        </w:rPr>
      </w:pPr>
      <w:r>
        <w:rPr>
          <w:rFonts w:ascii="Acumin Pro" w:hAnsi="Acumin Pro"/>
        </w:rPr>
        <w:t>When it comes to this type of data and the use of common web technologies on websites, t</w:t>
      </w:r>
      <w:r w:rsidR="003677E1">
        <w:rPr>
          <w:rFonts w:ascii="Acumin Pro" w:hAnsi="Acumin Pro"/>
        </w:rPr>
        <w:t xml:space="preserve">he legislature and the voters of this state </w:t>
      </w:r>
      <w:r w:rsidR="00A20F08">
        <w:rPr>
          <w:rFonts w:ascii="Acumin Pro" w:hAnsi="Acumin Pro"/>
        </w:rPr>
        <w:t xml:space="preserve">intentionally </w:t>
      </w:r>
      <w:r w:rsidR="003677E1">
        <w:rPr>
          <w:rFonts w:ascii="Acumin Pro" w:hAnsi="Acumin Pro"/>
        </w:rPr>
        <w:t xml:space="preserve">chose </w:t>
      </w:r>
      <w:r>
        <w:rPr>
          <w:rFonts w:ascii="Acumin Pro" w:hAnsi="Acumin Pro"/>
        </w:rPr>
        <w:t xml:space="preserve">to regulate those activities through the CCPA, and </w:t>
      </w:r>
      <w:r w:rsidR="003677E1">
        <w:rPr>
          <w:rFonts w:ascii="Acumin Pro" w:hAnsi="Acumin Pro"/>
        </w:rPr>
        <w:t>not to have a private right of action as an enforcement mechanism</w:t>
      </w:r>
      <w:r>
        <w:rPr>
          <w:rFonts w:ascii="Acumin Pro" w:hAnsi="Acumin Pro"/>
        </w:rPr>
        <w:t xml:space="preserve"> for violations of the law</w:t>
      </w:r>
      <w:r w:rsidR="003677E1">
        <w:rPr>
          <w:rFonts w:ascii="Acumin Pro" w:hAnsi="Acumin Pro"/>
        </w:rPr>
        <w:t xml:space="preserve">. Instead, </w:t>
      </w:r>
      <w:r w:rsidR="008418B7" w:rsidRPr="003677E1">
        <w:rPr>
          <w:rFonts w:ascii="Acumin Pro" w:hAnsi="Acumin Pro"/>
        </w:rPr>
        <w:t>it is actively enforced by two separate regulatory bodies:</w:t>
      </w:r>
    </w:p>
    <w:p w14:paraId="6ACAE908" w14:textId="4CDDF216" w:rsidR="00996391" w:rsidRPr="003677E1" w:rsidRDefault="008418B7" w:rsidP="00887B35">
      <w:pPr>
        <w:pStyle w:val="NormalWeb"/>
        <w:numPr>
          <w:ilvl w:val="0"/>
          <w:numId w:val="3"/>
        </w:numPr>
        <w:rPr>
          <w:rFonts w:ascii="Acumin Pro" w:hAnsi="Acumin Pro"/>
        </w:rPr>
      </w:pPr>
      <w:r w:rsidRPr="003677E1">
        <w:rPr>
          <w:rFonts w:ascii="Acumin Pro" w:hAnsi="Acumin Pro"/>
        </w:rPr>
        <w:t xml:space="preserve">The </w:t>
      </w:r>
      <w:r w:rsidR="00755A66">
        <w:rPr>
          <w:rFonts w:ascii="Acumin Pro" w:hAnsi="Acumin Pro"/>
        </w:rPr>
        <w:t>California Privacy Protection Agency</w:t>
      </w:r>
      <w:r w:rsidR="00996391">
        <w:rPr>
          <w:rFonts w:ascii="Acumin Pro" w:hAnsi="Acumin Pro"/>
        </w:rPr>
        <w:t>, which</w:t>
      </w:r>
      <w:r w:rsidRPr="003677E1">
        <w:rPr>
          <w:rFonts w:ascii="Acumin Pro" w:hAnsi="Acumin Pro"/>
        </w:rPr>
        <w:t xml:space="preserve"> was created to implement and enforce the CCPA</w:t>
      </w:r>
      <w:r w:rsidR="00996391">
        <w:rPr>
          <w:rFonts w:ascii="Acumin Pro" w:hAnsi="Acumin Pro"/>
        </w:rPr>
        <w:t>.</w:t>
      </w:r>
      <w:r w:rsidRPr="003677E1">
        <w:rPr>
          <w:rFonts w:ascii="Acumin Pro" w:hAnsi="Acumin Pro"/>
        </w:rPr>
        <w:t xml:space="preserve"> The </w:t>
      </w:r>
      <w:r w:rsidR="00996391">
        <w:rPr>
          <w:rFonts w:ascii="Acumin Pro" w:hAnsi="Acumin Pro"/>
        </w:rPr>
        <w:t>Privacy Agency</w:t>
      </w:r>
      <w:r w:rsidR="00996391" w:rsidRPr="003677E1">
        <w:rPr>
          <w:rFonts w:ascii="Acumin Pro" w:hAnsi="Acumin Pro"/>
        </w:rPr>
        <w:t xml:space="preserve"> </w:t>
      </w:r>
      <w:r w:rsidRPr="003677E1">
        <w:rPr>
          <w:rFonts w:ascii="Acumin Pro" w:hAnsi="Acumin Pro"/>
        </w:rPr>
        <w:t>is empowered to oversee business compliance, issue regulations, and impose penalties on organizations that violate the law.</w:t>
      </w:r>
    </w:p>
    <w:p w14:paraId="3592C71B" w14:textId="220636BC" w:rsidR="008418B7" w:rsidRPr="00996391" w:rsidRDefault="008418B7" w:rsidP="00887B35">
      <w:pPr>
        <w:pStyle w:val="NormalWeb"/>
        <w:numPr>
          <w:ilvl w:val="0"/>
          <w:numId w:val="3"/>
        </w:numPr>
        <w:rPr>
          <w:rFonts w:ascii="Acumin Pro" w:hAnsi="Acumin Pro"/>
        </w:rPr>
      </w:pPr>
      <w:r w:rsidRPr="00996391">
        <w:rPr>
          <w:rFonts w:ascii="Acumin Pro" w:hAnsi="Acumin Pro"/>
        </w:rPr>
        <w:t>The California Attorney General retains authority to investigate and enforce violations of the CCPA, ensuring that companies adhere to the statute’s robust consumer protections.</w:t>
      </w:r>
    </w:p>
    <w:p w14:paraId="5AED1DEA" w14:textId="636E85B7" w:rsidR="008418B7" w:rsidRPr="003677E1" w:rsidRDefault="008418B7" w:rsidP="008418B7">
      <w:pPr>
        <w:pStyle w:val="NormalWeb"/>
        <w:rPr>
          <w:rFonts w:ascii="Acumin Pro" w:hAnsi="Acumin Pro"/>
        </w:rPr>
      </w:pPr>
      <w:r w:rsidRPr="003677E1">
        <w:rPr>
          <w:rFonts w:ascii="Acumin Pro" w:hAnsi="Acumin Pro"/>
        </w:rPr>
        <w:t xml:space="preserve">These enforcement mechanisms were specifically designed by the Legislature and California voters to regulate the exact types of data collection and digital interactions that are now the subject of opportunistic CIPA </w:t>
      </w:r>
      <w:r w:rsidR="0045202C">
        <w:rPr>
          <w:rFonts w:ascii="Acumin Pro" w:hAnsi="Acumin Pro"/>
        </w:rPr>
        <w:t>lawsuits</w:t>
      </w:r>
      <w:r w:rsidRPr="003677E1">
        <w:rPr>
          <w:rFonts w:ascii="Acumin Pro" w:hAnsi="Acumin Pro"/>
        </w:rPr>
        <w:t xml:space="preserve">. Allowing CIPA to be misapplied in this manner creates regulatory duplication, uncertainty, and unnecessary financial </w:t>
      </w:r>
      <w:r w:rsidRPr="003677E1">
        <w:rPr>
          <w:rFonts w:ascii="Acumin Pro" w:hAnsi="Acumin Pro"/>
        </w:rPr>
        <w:lastRenderedPageBreak/>
        <w:t>burdens for businesses that are already in compliance with a</w:t>
      </w:r>
      <w:r w:rsidR="003677E1">
        <w:rPr>
          <w:rFonts w:ascii="Acumin Pro" w:hAnsi="Acumin Pro"/>
        </w:rPr>
        <w:t>n expansive</w:t>
      </w:r>
      <w:r w:rsidRPr="003677E1">
        <w:rPr>
          <w:rFonts w:ascii="Acumin Pro" w:hAnsi="Acumin Pro"/>
        </w:rPr>
        <w:t xml:space="preserve"> </w:t>
      </w:r>
      <w:r w:rsidR="0045202C">
        <w:rPr>
          <w:rFonts w:ascii="Acumin Pro" w:hAnsi="Acumin Pro"/>
        </w:rPr>
        <w:t xml:space="preserve">and expensive </w:t>
      </w:r>
      <w:r w:rsidRPr="003677E1">
        <w:rPr>
          <w:rFonts w:ascii="Acumin Pro" w:hAnsi="Acumin Pro"/>
        </w:rPr>
        <w:t>privacy regime.</w:t>
      </w:r>
    </w:p>
    <w:p w14:paraId="180644DC" w14:textId="6FD5D687" w:rsidR="00755A66" w:rsidRPr="003677E1" w:rsidRDefault="008418B7" w:rsidP="008418B7">
      <w:pPr>
        <w:pStyle w:val="NormalWeb"/>
        <w:rPr>
          <w:rFonts w:ascii="Acumin Pro" w:hAnsi="Acumin Pro"/>
        </w:rPr>
      </w:pPr>
      <w:r w:rsidRPr="003677E1">
        <w:rPr>
          <w:rFonts w:ascii="Acumin Pro" w:hAnsi="Acumin Pro"/>
        </w:rPr>
        <w:t xml:space="preserve">Businesses need certainty as to how to comply with privacy laws. </w:t>
      </w:r>
      <w:r w:rsidR="006E0B39">
        <w:rPr>
          <w:rFonts w:ascii="Acumin Pro" w:hAnsi="Acumin Pro"/>
        </w:rPr>
        <w:t>Businesses have spent significant resources to comply</w:t>
      </w:r>
      <w:r w:rsidRPr="003677E1">
        <w:rPr>
          <w:rFonts w:ascii="Acumin Pro" w:hAnsi="Acumin Pro"/>
        </w:rPr>
        <w:t xml:space="preserve"> </w:t>
      </w:r>
      <w:r w:rsidR="006E0B39">
        <w:rPr>
          <w:rFonts w:ascii="Acumin Pro" w:hAnsi="Acumin Pro"/>
        </w:rPr>
        <w:t>with the CCPA</w:t>
      </w:r>
      <w:r w:rsidR="0045202C">
        <w:rPr>
          <w:rFonts w:ascii="Acumin Pro" w:hAnsi="Acumin Pro"/>
        </w:rPr>
        <w:t xml:space="preserve">, </w:t>
      </w:r>
      <w:r w:rsidR="006E0B39">
        <w:rPr>
          <w:rFonts w:ascii="Acumin Pro" w:hAnsi="Acumin Pro"/>
        </w:rPr>
        <w:t xml:space="preserve">the Privacy Agency’s </w:t>
      </w:r>
      <w:r w:rsidRPr="003677E1">
        <w:rPr>
          <w:rFonts w:ascii="Acumin Pro" w:hAnsi="Acumin Pro"/>
        </w:rPr>
        <w:t>hundreds of pages of regulation</w:t>
      </w:r>
      <w:r w:rsidR="006E0B39">
        <w:rPr>
          <w:rFonts w:ascii="Acumin Pro" w:hAnsi="Acumin Pro"/>
        </w:rPr>
        <w:t xml:space="preserve">, and guidance from the Privacy Agency and AG.  It makes no sense – and is completely unfair – to require them to somehow implement a conflicting, </w:t>
      </w:r>
      <w:r w:rsidRPr="003677E1">
        <w:rPr>
          <w:rFonts w:ascii="Acumin Pro" w:hAnsi="Acumin Pro"/>
        </w:rPr>
        <w:t xml:space="preserve">1967 criminal wiretapping statute </w:t>
      </w:r>
      <w:r w:rsidR="006E0B39">
        <w:rPr>
          <w:rFonts w:ascii="Acumin Pro" w:hAnsi="Acumin Pro"/>
        </w:rPr>
        <w:t>designed for telephone wiretapping because of a</w:t>
      </w:r>
      <w:r w:rsidRPr="003677E1">
        <w:rPr>
          <w:rFonts w:ascii="Acumin Pro" w:hAnsi="Acumin Pro"/>
        </w:rPr>
        <w:t xml:space="preserve"> handful of</w:t>
      </w:r>
      <w:r w:rsidR="006E0B39">
        <w:rPr>
          <w:rFonts w:ascii="Acumin Pro" w:hAnsi="Acumin Pro"/>
        </w:rPr>
        <w:t xml:space="preserve"> trial lawyers churning out lawsuits</w:t>
      </w:r>
      <w:r w:rsidRPr="003677E1">
        <w:rPr>
          <w:rFonts w:ascii="Acumin Pro" w:hAnsi="Acumin Pro"/>
        </w:rPr>
        <w:t>. Without this clarity, businesses will continue to face unpredictable and inconsistent legal risks, hampering compliance efforts and innovation.</w:t>
      </w:r>
    </w:p>
    <w:p w14:paraId="3010E48C" w14:textId="00C3F8C1" w:rsidR="008418B7" w:rsidRPr="003677E1" w:rsidRDefault="008418B7" w:rsidP="008418B7">
      <w:pPr>
        <w:pStyle w:val="NormalWeb"/>
        <w:rPr>
          <w:rFonts w:ascii="Acumin Pro" w:hAnsi="Acumin Pro"/>
          <w:b/>
          <w:bCs/>
          <w:u w:val="single"/>
        </w:rPr>
      </w:pPr>
      <w:r w:rsidRPr="003677E1">
        <w:rPr>
          <w:rFonts w:ascii="Acumin Pro" w:hAnsi="Acumin Pro"/>
          <w:b/>
          <w:bCs/>
          <w:u w:val="single"/>
        </w:rPr>
        <w:t>CIPA’s Private Right of Action</w:t>
      </w:r>
      <w:r w:rsidR="003677E1">
        <w:rPr>
          <w:rFonts w:ascii="Acumin Pro" w:hAnsi="Acumin Pro"/>
          <w:b/>
          <w:bCs/>
          <w:u w:val="single"/>
        </w:rPr>
        <w:t xml:space="preserve"> is Being Abused </w:t>
      </w:r>
      <w:r w:rsidR="0045202C">
        <w:rPr>
          <w:rFonts w:ascii="Acumin Pro" w:hAnsi="Acumin Pro"/>
          <w:b/>
          <w:bCs/>
          <w:u w:val="single"/>
        </w:rPr>
        <w:t>in</w:t>
      </w:r>
      <w:r w:rsidR="003677E1">
        <w:rPr>
          <w:rFonts w:ascii="Acumin Pro" w:hAnsi="Acumin Pro"/>
          <w:b/>
          <w:bCs/>
          <w:u w:val="single"/>
        </w:rPr>
        <w:t xml:space="preserve"> Ways Never Intended </w:t>
      </w:r>
      <w:r w:rsidR="0045202C">
        <w:rPr>
          <w:rFonts w:ascii="Acumin Pro" w:hAnsi="Acumin Pro"/>
          <w:b/>
          <w:bCs/>
          <w:u w:val="single"/>
        </w:rPr>
        <w:t>by</w:t>
      </w:r>
      <w:r w:rsidR="003677E1">
        <w:rPr>
          <w:rFonts w:ascii="Acumin Pro" w:hAnsi="Acumin Pro"/>
          <w:b/>
          <w:bCs/>
          <w:u w:val="single"/>
        </w:rPr>
        <w:t xml:space="preserve"> the Statute.</w:t>
      </w:r>
    </w:p>
    <w:p w14:paraId="131C8C27" w14:textId="77B1CE83" w:rsidR="008418B7" w:rsidRDefault="008418B7" w:rsidP="008418B7">
      <w:pPr>
        <w:pStyle w:val="NormalWeb"/>
        <w:rPr>
          <w:rFonts w:ascii="Acumin Pro" w:hAnsi="Acumin Pro"/>
        </w:rPr>
      </w:pPr>
      <w:r w:rsidRPr="003677E1">
        <w:rPr>
          <w:rFonts w:ascii="Acumin Pro" w:hAnsi="Acumin Pro"/>
        </w:rPr>
        <w:t xml:space="preserve">Beyond regulatory inconsistency, the unchecked </w:t>
      </w:r>
      <w:r w:rsidR="00A553F9">
        <w:rPr>
          <w:rFonts w:ascii="Acumin Pro" w:hAnsi="Acumin Pro"/>
        </w:rPr>
        <w:t>barrage of</w:t>
      </w:r>
      <w:r w:rsidRPr="003677E1">
        <w:rPr>
          <w:rFonts w:ascii="Acumin Pro" w:hAnsi="Acumin Pro"/>
        </w:rPr>
        <w:t xml:space="preserve"> CIPA </w:t>
      </w:r>
      <w:r w:rsidR="00A553F9">
        <w:rPr>
          <w:rFonts w:ascii="Acumin Pro" w:hAnsi="Acumin Pro"/>
        </w:rPr>
        <w:t>lawsuits</w:t>
      </w:r>
      <w:r w:rsidR="00A553F9" w:rsidRPr="003677E1">
        <w:rPr>
          <w:rFonts w:ascii="Acumin Pro" w:hAnsi="Acumin Pro"/>
        </w:rPr>
        <w:t xml:space="preserve"> </w:t>
      </w:r>
      <w:r w:rsidR="00A553F9">
        <w:rPr>
          <w:rFonts w:ascii="Acumin Pro" w:hAnsi="Acumin Pro"/>
        </w:rPr>
        <w:t xml:space="preserve">has done </w:t>
      </w:r>
      <w:r w:rsidR="00A553F9" w:rsidRPr="00887B35">
        <w:rPr>
          <w:rFonts w:ascii="Acumin Pro" w:hAnsi="Acumin Pro"/>
          <w:u w:val="single"/>
        </w:rPr>
        <w:t>nothing</w:t>
      </w:r>
      <w:r w:rsidR="00A553F9">
        <w:rPr>
          <w:rFonts w:ascii="Acumin Pro" w:hAnsi="Acumin Pro"/>
        </w:rPr>
        <w:t xml:space="preserve"> to protect</w:t>
      </w:r>
      <w:r w:rsidRPr="003677E1">
        <w:rPr>
          <w:rFonts w:ascii="Acumin Pro" w:hAnsi="Acumin Pro"/>
        </w:rPr>
        <w:t xml:space="preserve"> consumer privacy</w:t>
      </w:r>
      <w:r w:rsidR="00A553F9">
        <w:rPr>
          <w:rFonts w:ascii="Acumin Pro" w:hAnsi="Acumin Pro"/>
        </w:rPr>
        <w:t>.  Instead, these demand letters and lawsuits</w:t>
      </w:r>
      <w:r w:rsidRPr="003677E1">
        <w:rPr>
          <w:rFonts w:ascii="Acumin Pro" w:hAnsi="Acumin Pro"/>
        </w:rPr>
        <w:t xml:space="preserve"> </w:t>
      </w:r>
      <w:r w:rsidR="00A553F9">
        <w:rPr>
          <w:rFonts w:ascii="Acumin Pro" w:hAnsi="Acumin Pro"/>
        </w:rPr>
        <w:t>have</w:t>
      </w:r>
      <w:r w:rsidR="00A553F9" w:rsidRPr="003677E1">
        <w:rPr>
          <w:rFonts w:ascii="Acumin Pro" w:hAnsi="Acumin Pro"/>
        </w:rPr>
        <w:t xml:space="preserve"> </w:t>
      </w:r>
      <w:r w:rsidR="00A553F9">
        <w:rPr>
          <w:rFonts w:ascii="Acumin Pro" w:hAnsi="Acumin Pro"/>
        </w:rPr>
        <w:t>created</w:t>
      </w:r>
      <w:r w:rsidR="00A553F9" w:rsidRPr="003677E1">
        <w:rPr>
          <w:rFonts w:ascii="Acumin Pro" w:hAnsi="Acumin Pro"/>
        </w:rPr>
        <w:t xml:space="preserve"> </w:t>
      </w:r>
      <w:r w:rsidRPr="003677E1">
        <w:rPr>
          <w:rFonts w:ascii="Acumin Pro" w:hAnsi="Acumin Pro"/>
        </w:rPr>
        <w:t xml:space="preserve">significant costs </w:t>
      </w:r>
      <w:r w:rsidR="00A553F9">
        <w:rPr>
          <w:rFonts w:ascii="Acumin Pro" w:hAnsi="Acumin Pro"/>
        </w:rPr>
        <w:t>for California</w:t>
      </w:r>
      <w:r w:rsidR="00A553F9" w:rsidRPr="003677E1">
        <w:rPr>
          <w:rFonts w:ascii="Acumin Pro" w:hAnsi="Acumin Pro"/>
        </w:rPr>
        <w:t xml:space="preserve"> </w:t>
      </w:r>
      <w:r w:rsidRPr="003677E1">
        <w:rPr>
          <w:rFonts w:ascii="Acumin Pro" w:hAnsi="Acumin Pro"/>
        </w:rPr>
        <w:t xml:space="preserve">businesses, particularly small and mid-sized </w:t>
      </w:r>
      <w:r w:rsidR="00A553F9">
        <w:rPr>
          <w:rFonts w:ascii="Acumin Pro" w:hAnsi="Acumin Pro"/>
        </w:rPr>
        <w:t xml:space="preserve">businesses – and non-profits – </w:t>
      </w:r>
      <w:r w:rsidRPr="003677E1">
        <w:rPr>
          <w:rFonts w:ascii="Acumin Pro" w:hAnsi="Acumin Pro"/>
        </w:rPr>
        <w:t xml:space="preserve">that lack the resources to defend against these claims. </w:t>
      </w:r>
      <w:r w:rsidR="00A553F9">
        <w:rPr>
          <w:rFonts w:ascii="Acumin Pro" w:hAnsi="Acumin Pro"/>
        </w:rPr>
        <w:t>Trial lawyers</w:t>
      </w:r>
      <w:r w:rsidRPr="003677E1">
        <w:rPr>
          <w:rFonts w:ascii="Acumin Pro" w:hAnsi="Acumin Pro"/>
        </w:rPr>
        <w:t xml:space="preserve"> have targeted businesses for using common digital tools such as chatbots—tools that are widely used to enhance user experience and do not constitute unlawful wiretapping or eavesdropping as originally intended under CIPA.</w:t>
      </w:r>
    </w:p>
    <w:p w14:paraId="76EB8B69" w14:textId="0880613C" w:rsidR="003677E1" w:rsidRDefault="00A553F9" w:rsidP="008418B7">
      <w:pPr>
        <w:pStyle w:val="NormalWeb"/>
        <w:rPr>
          <w:rFonts w:ascii="Acumin Pro" w:hAnsi="Acumin Pro"/>
        </w:rPr>
      </w:pPr>
      <w:r>
        <w:rPr>
          <w:rFonts w:ascii="Acumin Pro" w:hAnsi="Acumin Pro"/>
        </w:rPr>
        <w:t>Trial lawyers have sued</w:t>
      </w:r>
      <w:r w:rsidR="003677E1">
        <w:rPr>
          <w:rFonts w:ascii="Acumin Pro" w:hAnsi="Acumin Pro"/>
        </w:rPr>
        <w:t xml:space="preserve"> </w:t>
      </w:r>
      <w:r w:rsidR="003677E1">
        <w:rPr>
          <w:rFonts w:ascii="Acumin Pro" w:hAnsi="Acumin Pro"/>
          <w:b/>
          <w:bCs/>
          <w:i/>
          <w:iCs/>
        </w:rPr>
        <w:t xml:space="preserve">over 1,500 </w:t>
      </w:r>
      <w:r>
        <w:rPr>
          <w:rFonts w:ascii="Acumin Pro" w:hAnsi="Acumin Pro"/>
          <w:b/>
          <w:bCs/>
          <w:i/>
          <w:iCs/>
        </w:rPr>
        <w:t xml:space="preserve">businesses </w:t>
      </w:r>
      <w:r w:rsidR="003677E1">
        <w:rPr>
          <w:rFonts w:ascii="Acumin Pro" w:hAnsi="Acumin Pro"/>
          <w:b/>
          <w:bCs/>
          <w:i/>
          <w:iCs/>
        </w:rPr>
        <w:t>since 2022</w:t>
      </w:r>
      <w:r w:rsidR="003677E1">
        <w:rPr>
          <w:rFonts w:ascii="Acumin Pro" w:hAnsi="Acumin Pro"/>
        </w:rPr>
        <w:t xml:space="preserve">, </w:t>
      </w:r>
      <w:r>
        <w:rPr>
          <w:rFonts w:ascii="Acumin Pro" w:hAnsi="Acumin Pro"/>
        </w:rPr>
        <w:t xml:space="preserve">and have sent </w:t>
      </w:r>
      <w:r w:rsidR="003677E1">
        <w:rPr>
          <w:rFonts w:ascii="Acumin Pro" w:hAnsi="Acumin Pro"/>
        </w:rPr>
        <w:t>thousands more demand letters.</w:t>
      </w:r>
    </w:p>
    <w:p w14:paraId="6C5F757C" w14:textId="1A57F690" w:rsidR="003677E1" w:rsidRPr="003677E1" w:rsidRDefault="003677E1" w:rsidP="008418B7">
      <w:pPr>
        <w:pStyle w:val="NormalWeb"/>
        <w:rPr>
          <w:rFonts w:ascii="Acumin Pro" w:hAnsi="Acumin Pro"/>
        </w:rPr>
      </w:pPr>
      <w:r>
        <w:rPr>
          <w:rFonts w:ascii="Acumin Pro" w:hAnsi="Acumin Pro"/>
          <w:b/>
          <w:bCs/>
          <w:i/>
          <w:iCs/>
        </w:rPr>
        <w:t xml:space="preserve">Failing to enact SB 690 will allow these lawsuits to proceed unchecked, allowing </w:t>
      </w:r>
      <w:r w:rsidR="00A553F9">
        <w:rPr>
          <w:rFonts w:ascii="Acumin Pro" w:hAnsi="Acumin Pro"/>
          <w:b/>
          <w:bCs/>
          <w:i/>
          <w:iCs/>
        </w:rPr>
        <w:t xml:space="preserve">trial lawyers </w:t>
      </w:r>
      <w:r>
        <w:rPr>
          <w:rFonts w:ascii="Acumin Pro" w:hAnsi="Acumin Pro"/>
          <w:b/>
          <w:bCs/>
          <w:i/>
          <w:iCs/>
        </w:rPr>
        <w:t xml:space="preserve">to </w:t>
      </w:r>
      <w:r w:rsidR="00A553F9">
        <w:rPr>
          <w:rFonts w:ascii="Acumin Pro" w:hAnsi="Acumin Pro"/>
          <w:b/>
          <w:bCs/>
          <w:i/>
          <w:iCs/>
        </w:rPr>
        <w:t>force businesses into practices that conflict with</w:t>
      </w:r>
      <w:r>
        <w:rPr>
          <w:rFonts w:ascii="Acumin Pro" w:hAnsi="Acumin Pro"/>
          <w:b/>
          <w:bCs/>
          <w:i/>
          <w:iCs/>
        </w:rPr>
        <w:t xml:space="preserve"> the CCPA and </w:t>
      </w:r>
      <w:r w:rsidR="00A553F9">
        <w:rPr>
          <w:rFonts w:ascii="Acumin Pro" w:hAnsi="Acumin Pro"/>
          <w:b/>
          <w:bCs/>
          <w:i/>
          <w:iCs/>
        </w:rPr>
        <w:t xml:space="preserve">create </w:t>
      </w:r>
      <w:r>
        <w:rPr>
          <w:rFonts w:ascii="Acumin Pro" w:hAnsi="Acumin Pro"/>
          <w:b/>
          <w:bCs/>
          <w:i/>
          <w:iCs/>
        </w:rPr>
        <w:t>regulatory chaos in California.</w:t>
      </w:r>
    </w:p>
    <w:p w14:paraId="49397DF9" w14:textId="50E1977A" w:rsidR="008418B7" w:rsidRPr="003677E1" w:rsidRDefault="008418B7" w:rsidP="008418B7">
      <w:pPr>
        <w:pStyle w:val="NormalWeb"/>
        <w:rPr>
          <w:rFonts w:ascii="Acumin Pro" w:hAnsi="Acumin Pro"/>
        </w:rPr>
      </w:pPr>
      <w:r w:rsidRPr="003677E1">
        <w:rPr>
          <w:rFonts w:ascii="Acumin Pro" w:hAnsi="Acumin Pro"/>
        </w:rPr>
        <w:t>These lawsuits</w:t>
      </w:r>
      <w:r w:rsidR="003677E1">
        <w:rPr>
          <w:rFonts w:ascii="Acumin Pro" w:hAnsi="Acumin Pro"/>
        </w:rPr>
        <w:t xml:space="preserve"> </w:t>
      </w:r>
      <w:r w:rsidRPr="003677E1">
        <w:rPr>
          <w:rFonts w:ascii="Acumin Pro" w:hAnsi="Acumin Pro"/>
        </w:rPr>
        <w:t>exploit the broad private right of action under CIPA to force businesses into costly settlements, diverting resources away from innovation and true consumer privacy protections. By ensuring that activities governed by the CCPA remain within the jurisdiction of the CCPA, SB 690 will restore legislative intent, prevent regulatory overreach, and protect businesses from abusive litigation tactics.</w:t>
      </w:r>
    </w:p>
    <w:p w14:paraId="3DA29013" w14:textId="0A339397" w:rsidR="008418B7" w:rsidRPr="003677E1" w:rsidRDefault="00240642" w:rsidP="008418B7">
      <w:pPr>
        <w:pStyle w:val="NormalWeb"/>
        <w:rPr>
          <w:rFonts w:ascii="Acumin Pro" w:hAnsi="Acumin Pro"/>
        </w:rPr>
      </w:pPr>
      <w:r>
        <w:rPr>
          <w:rFonts w:ascii="Acumin Pro" w:hAnsi="Acumin Pro"/>
        </w:rPr>
        <w:t>No California businesses is safe from these lawsuits</w:t>
      </w:r>
      <w:r w:rsidR="008418B7" w:rsidRPr="003677E1">
        <w:rPr>
          <w:rFonts w:ascii="Acumin Pro" w:hAnsi="Acumin Pro"/>
        </w:rPr>
        <w:t xml:space="preserve">. The </w:t>
      </w:r>
      <w:r>
        <w:rPr>
          <w:rFonts w:ascii="Acumin Pro" w:hAnsi="Acumin Pro"/>
        </w:rPr>
        <w:t>trial lawyers</w:t>
      </w:r>
      <w:r w:rsidR="008418B7" w:rsidRPr="003677E1">
        <w:rPr>
          <w:rFonts w:ascii="Acumin Pro" w:hAnsi="Acumin Pro"/>
        </w:rPr>
        <w:t xml:space="preserve"> have sued </w:t>
      </w:r>
      <w:r>
        <w:rPr>
          <w:rFonts w:ascii="Acumin Pro" w:hAnsi="Acumin Pro"/>
        </w:rPr>
        <w:t xml:space="preserve">large and small businesses – and non-profits too. </w:t>
      </w:r>
      <w:r w:rsidR="008418B7" w:rsidRPr="003677E1">
        <w:rPr>
          <w:rFonts w:ascii="Acumin Pro" w:hAnsi="Acumin Pro"/>
        </w:rPr>
        <w:t xml:space="preserve"> </w:t>
      </w:r>
      <w:r>
        <w:rPr>
          <w:rFonts w:ascii="Acumin Pro" w:hAnsi="Acumin Pro"/>
        </w:rPr>
        <w:t>Our coalition of support includes</w:t>
      </w:r>
      <w:r w:rsidR="008418B7" w:rsidRPr="003677E1">
        <w:rPr>
          <w:rFonts w:ascii="Acumin Pro" w:hAnsi="Acumin Pro"/>
        </w:rPr>
        <w:t xml:space="preserve"> </w:t>
      </w:r>
      <w:r w:rsidR="00025D76">
        <w:rPr>
          <w:rFonts w:ascii="Acumin Pro" w:hAnsi="Acumin Pro"/>
        </w:rPr>
        <w:t>news media</w:t>
      </w:r>
      <w:r>
        <w:rPr>
          <w:rFonts w:ascii="Acumin Pro" w:hAnsi="Acumin Pro"/>
        </w:rPr>
        <w:t>,</w:t>
      </w:r>
      <w:r w:rsidR="008418B7" w:rsidRPr="003677E1">
        <w:rPr>
          <w:rFonts w:ascii="Acumin Pro" w:hAnsi="Acumin Pro"/>
        </w:rPr>
        <w:t xml:space="preserve"> restaurants, broadband providers, retailers, and many </w:t>
      </w:r>
      <w:r w:rsidR="003677E1">
        <w:rPr>
          <w:rFonts w:ascii="Acumin Pro" w:hAnsi="Acumin Pro"/>
        </w:rPr>
        <w:t>small businesses</w:t>
      </w:r>
      <w:r w:rsidR="008418B7" w:rsidRPr="003677E1">
        <w:rPr>
          <w:rFonts w:ascii="Acumin Pro" w:hAnsi="Acumin Pro"/>
        </w:rPr>
        <w:t>. The broad scope of these lawsuits demonstrates that the misuse of CIPA affects the entire business community</w:t>
      </w:r>
      <w:r>
        <w:rPr>
          <w:rFonts w:ascii="Acumin Pro" w:hAnsi="Acumin Pro"/>
        </w:rPr>
        <w:t>.</w:t>
      </w:r>
    </w:p>
    <w:p w14:paraId="207E01D8" w14:textId="28BB484B" w:rsidR="008418B7" w:rsidRPr="003677E1" w:rsidRDefault="003677E1" w:rsidP="003677E1">
      <w:pPr>
        <w:pStyle w:val="NormalWeb"/>
        <w:rPr>
          <w:rFonts w:ascii="Acumin Pro" w:hAnsi="Acumin Pro"/>
        </w:rPr>
      </w:pPr>
      <w:r w:rsidRPr="003677E1">
        <w:rPr>
          <w:rFonts w:ascii="Acumin Pro" w:hAnsi="Acumin Pro"/>
        </w:rPr>
        <w:tab/>
      </w:r>
      <w:r>
        <w:rPr>
          <w:rFonts w:ascii="Acumin Pro" w:hAnsi="Acumin Pro"/>
        </w:rPr>
        <w:t>*</w:t>
      </w:r>
      <w:r>
        <w:rPr>
          <w:rFonts w:ascii="Acumin Pro" w:hAnsi="Acumin Pro"/>
        </w:rPr>
        <w:tab/>
      </w:r>
      <w:r>
        <w:rPr>
          <w:rFonts w:ascii="Acumin Pro" w:hAnsi="Acumin Pro"/>
        </w:rPr>
        <w:tab/>
        <w:t>*</w:t>
      </w:r>
      <w:r>
        <w:rPr>
          <w:rFonts w:ascii="Acumin Pro" w:hAnsi="Acumin Pro"/>
        </w:rPr>
        <w:tab/>
      </w:r>
      <w:r>
        <w:rPr>
          <w:rFonts w:ascii="Acumin Pro" w:hAnsi="Acumin Pro"/>
        </w:rPr>
        <w:tab/>
        <w:t>*</w:t>
      </w:r>
      <w:r>
        <w:rPr>
          <w:rFonts w:ascii="Acumin Pro" w:hAnsi="Acumin Pro"/>
        </w:rPr>
        <w:tab/>
      </w:r>
      <w:r>
        <w:rPr>
          <w:rFonts w:ascii="Acumin Pro" w:hAnsi="Acumin Pro"/>
        </w:rPr>
        <w:tab/>
        <w:t>*</w:t>
      </w:r>
      <w:r>
        <w:rPr>
          <w:rFonts w:ascii="Acumin Pro" w:hAnsi="Acumin Pro"/>
        </w:rPr>
        <w:tab/>
      </w:r>
      <w:r>
        <w:rPr>
          <w:rFonts w:ascii="Acumin Pro" w:hAnsi="Acumin Pro"/>
        </w:rPr>
        <w:tab/>
        <w:t>*</w:t>
      </w:r>
      <w:r>
        <w:rPr>
          <w:rFonts w:ascii="Acumin Pro" w:hAnsi="Acumin Pro"/>
        </w:rPr>
        <w:tab/>
      </w:r>
      <w:r>
        <w:rPr>
          <w:rFonts w:ascii="Acumin Pro" w:hAnsi="Acumin Pro"/>
        </w:rPr>
        <w:tab/>
        <w:t>*</w:t>
      </w:r>
    </w:p>
    <w:p w14:paraId="1D198640" w14:textId="2D26032D" w:rsidR="008418B7" w:rsidRPr="003677E1" w:rsidRDefault="008418B7" w:rsidP="008418B7">
      <w:pPr>
        <w:pStyle w:val="NormalWeb"/>
        <w:rPr>
          <w:rFonts w:ascii="Acumin Pro" w:hAnsi="Acumin Pro"/>
        </w:rPr>
      </w:pPr>
      <w:r w:rsidRPr="003677E1">
        <w:rPr>
          <w:rFonts w:ascii="Acumin Pro" w:hAnsi="Acumin Pro"/>
        </w:rPr>
        <w:t xml:space="preserve">For these reasons, we strongly support SB 690. This bill will provide much-needed clarity, reinforce California’s existing privacy enforcement mechanisms, and prevent the </w:t>
      </w:r>
      <w:r w:rsidRPr="003677E1">
        <w:rPr>
          <w:rFonts w:ascii="Acumin Pro" w:hAnsi="Acumin Pro"/>
        </w:rPr>
        <w:lastRenderedPageBreak/>
        <w:t>misuse of outdated statutes to regulate modern data practices. We appreciate your leadership on this issue and look forward to working together to ensure a fair, effective, and enforceable privacy framework for all Californians.</w:t>
      </w:r>
    </w:p>
    <w:p w14:paraId="7839F434" w14:textId="046D39A6" w:rsidR="00CA2AB9" w:rsidRDefault="00271D17">
      <w:pPr>
        <w:rPr>
          <w:rFonts w:ascii="Acumin Pro" w:hAnsi="Acumin Pro"/>
        </w:rPr>
      </w:pPr>
      <w:r>
        <w:rPr>
          <w:rFonts w:ascii="Acumin Pro" w:hAnsi="Acumin Pro"/>
        </w:rPr>
        <w:t xml:space="preserve">Respectfully submitted, </w:t>
      </w:r>
    </w:p>
    <w:p w14:paraId="655EDE37" w14:textId="7BA298B9" w:rsidR="00E96BEC" w:rsidRDefault="00E96BEC">
      <w:pPr>
        <w:rPr>
          <w:rFonts w:ascii="Acumin Pro" w:hAnsi="Acumin Pro"/>
        </w:rPr>
      </w:pPr>
      <w:r>
        <w:rPr>
          <w:rFonts w:ascii="Acumin Pro" w:hAnsi="Acumin Pro"/>
        </w:rPr>
        <w:t xml:space="preserve">Alliance for Legal Fairness </w:t>
      </w:r>
    </w:p>
    <w:p w14:paraId="6F380E92" w14:textId="11F0FE77" w:rsidR="00803CA7" w:rsidRDefault="00803CA7">
      <w:pPr>
        <w:rPr>
          <w:rFonts w:ascii="Acumin Pro" w:hAnsi="Acumin Pro"/>
        </w:rPr>
      </w:pPr>
      <w:r w:rsidRPr="00E32DC1">
        <w:rPr>
          <w:rFonts w:ascii="Acumin Pro" w:hAnsi="Acumin Pro"/>
        </w:rPr>
        <w:t>Apartment Owners Association of CA</w:t>
      </w:r>
    </w:p>
    <w:p w14:paraId="5493D8BF" w14:textId="77777777" w:rsidR="00803CA7" w:rsidRPr="00576041" w:rsidRDefault="00803CA7">
      <w:pPr>
        <w:rPr>
          <w:rFonts w:ascii="Acumin Pro" w:hAnsi="Acumin Pro"/>
        </w:rPr>
      </w:pPr>
      <w:r w:rsidRPr="00576041">
        <w:rPr>
          <w:rFonts w:ascii="Acumin Pro" w:hAnsi="Acumin Pro"/>
        </w:rPr>
        <w:t>Berkeley Chamber of Commerce</w:t>
      </w:r>
    </w:p>
    <w:p w14:paraId="46EEEBD5" w14:textId="77777777" w:rsidR="00803CA7" w:rsidRDefault="00803CA7">
      <w:pPr>
        <w:rPr>
          <w:rFonts w:ascii="Acumin Pro" w:hAnsi="Acumin Pro"/>
        </w:rPr>
      </w:pPr>
      <w:proofErr w:type="spellStart"/>
      <w:r w:rsidRPr="00606D3F">
        <w:rPr>
          <w:rFonts w:ascii="Acumin Pro" w:hAnsi="Acumin Pro"/>
        </w:rPr>
        <w:t>CalAsian</w:t>
      </w:r>
      <w:proofErr w:type="spellEnd"/>
      <w:r w:rsidRPr="00606D3F">
        <w:rPr>
          <w:rFonts w:ascii="Acumin Pro" w:hAnsi="Acumin Pro"/>
        </w:rPr>
        <w:t xml:space="preserve"> Chamber of Commerce</w:t>
      </w:r>
    </w:p>
    <w:p w14:paraId="56DA190D" w14:textId="77777777" w:rsidR="00803CA7" w:rsidRPr="00576041" w:rsidRDefault="00803CA7">
      <w:pPr>
        <w:rPr>
          <w:rFonts w:ascii="Acumin Pro" w:hAnsi="Acumin Pro"/>
        </w:rPr>
      </w:pPr>
      <w:proofErr w:type="spellStart"/>
      <w:r w:rsidRPr="00576041">
        <w:rPr>
          <w:rFonts w:ascii="Acumin Pro" w:hAnsi="Acumin Pro"/>
        </w:rPr>
        <w:t>CalBroadband</w:t>
      </w:r>
      <w:proofErr w:type="spellEnd"/>
    </w:p>
    <w:p w14:paraId="07FFFD4A" w14:textId="77777777" w:rsidR="00803CA7" w:rsidRPr="00606D3F" w:rsidRDefault="00803CA7" w:rsidP="00606D3F">
      <w:pPr>
        <w:rPr>
          <w:rFonts w:ascii="Acumin Pro" w:hAnsi="Acumin Pro"/>
        </w:rPr>
      </w:pPr>
      <w:r w:rsidRPr="00606D3F">
        <w:rPr>
          <w:rFonts w:ascii="Acumin Pro" w:hAnsi="Acumin Pro"/>
        </w:rPr>
        <w:t>California Black Chamber of Commerce</w:t>
      </w:r>
    </w:p>
    <w:p w14:paraId="02A4B323" w14:textId="77777777" w:rsidR="00803CA7" w:rsidRPr="00606D3F" w:rsidRDefault="00803CA7" w:rsidP="00606D3F">
      <w:pPr>
        <w:rPr>
          <w:rFonts w:ascii="Acumin Pro" w:hAnsi="Acumin Pro"/>
        </w:rPr>
      </w:pPr>
      <w:r w:rsidRPr="00606D3F">
        <w:rPr>
          <w:rFonts w:ascii="Acumin Pro" w:hAnsi="Acumin Pro"/>
        </w:rPr>
        <w:t>California Chamber of Commerce</w:t>
      </w:r>
    </w:p>
    <w:p w14:paraId="0379027C" w14:textId="77777777" w:rsidR="00803CA7" w:rsidRDefault="00803CA7" w:rsidP="00606D3F">
      <w:pPr>
        <w:rPr>
          <w:rFonts w:ascii="Acumin Pro" w:hAnsi="Acumin Pro"/>
        </w:rPr>
      </w:pPr>
      <w:r w:rsidRPr="00606D3F">
        <w:rPr>
          <w:rFonts w:ascii="Acumin Pro" w:hAnsi="Acumin Pro"/>
        </w:rPr>
        <w:t>California Hispanic Chamber of Commerce</w:t>
      </w:r>
    </w:p>
    <w:p w14:paraId="54610E70" w14:textId="77777777" w:rsidR="00803CA7" w:rsidRPr="006451D8" w:rsidRDefault="00803CA7">
      <w:pPr>
        <w:rPr>
          <w:rFonts w:ascii="Acumin Pro" w:hAnsi="Acumin Pro"/>
        </w:rPr>
      </w:pPr>
      <w:r w:rsidRPr="006451D8">
        <w:rPr>
          <w:rFonts w:ascii="Acumin Pro" w:hAnsi="Acumin Pro"/>
        </w:rPr>
        <w:t>California News Publishers Association</w:t>
      </w:r>
    </w:p>
    <w:p w14:paraId="2A73C2CA" w14:textId="77777777" w:rsidR="00803CA7" w:rsidRPr="00606D3F" w:rsidRDefault="00803CA7" w:rsidP="00606D3F">
      <w:pPr>
        <w:rPr>
          <w:rFonts w:ascii="Acumin Pro" w:hAnsi="Acumin Pro"/>
        </w:rPr>
      </w:pPr>
      <w:r w:rsidRPr="00606D3F">
        <w:rPr>
          <w:rFonts w:ascii="Acumin Pro" w:hAnsi="Acumin Pro"/>
        </w:rPr>
        <w:t>California Restaurant Association</w:t>
      </w:r>
    </w:p>
    <w:p w14:paraId="360484FE" w14:textId="77777777" w:rsidR="00803CA7" w:rsidRPr="00606D3F" w:rsidRDefault="00803CA7" w:rsidP="00606D3F">
      <w:pPr>
        <w:rPr>
          <w:rFonts w:ascii="Acumin Pro" w:hAnsi="Acumin Pro"/>
        </w:rPr>
      </w:pPr>
      <w:r w:rsidRPr="00606D3F">
        <w:rPr>
          <w:rFonts w:ascii="Acumin Pro" w:hAnsi="Acumin Pro"/>
        </w:rPr>
        <w:t>California Retailers Association</w:t>
      </w:r>
    </w:p>
    <w:p w14:paraId="666ED44B" w14:textId="77777777" w:rsidR="00803CA7" w:rsidRDefault="00803CA7">
      <w:pPr>
        <w:rPr>
          <w:rFonts w:ascii="Acumin Pro" w:hAnsi="Acumin Pro"/>
        </w:rPr>
      </w:pPr>
      <w:r w:rsidRPr="00576041">
        <w:rPr>
          <w:rFonts w:ascii="Acumin Pro" w:hAnsi="Acumin Pro"/>
        </w:rPr>
        <w:t>Civil Justice Association of CA</w:t>
      </w:r>
    </w:p>
    <w:p w14:paraId="3613EAAC" w14:textId="00D92AF0" w:rsidR="0083691F" w:rsidRPr="00576041" w:rsidRDefault="0083691F">
      <w:pPr>
        <w:rPr>
          <w:rFonts w:ascii="Acumin Pro" w:hAnsi="Acumin Pro"/>
        </w:rPr>
      </w:pPr>
      <w:r>
        <w:rPr>
          <w:rFonts w:ascii="Acumin Pro" w:hAnsi="Acumin Pro"/>
        </w:rPr>
        <w:t xml:space="preserve">Independent Insurance Agents &amp; Brokers of California </w:t>
      </w:r>
    </w:p>
    <w:p w14:paraId="44D34126" w14:textId="77777777" w:rsidR="00803CA7" w:rsidRPr="00606D3F" w:rsidRDefault="00803CA7" w:rsidP="00606D3F">
      <w:pPr>
        <w:rPr>
          <w:rFonts w:ascii="Acumin Pro" w:hAnsi="Acumin Pro"/>
        </w:rPr>
      </w:pPr>
      <w:r w:rsidRPr="00606D3F">
        <w:rPr>
          <w:rFonts w:ascii="Acumin Pro" w:hAnsi="Acumin Pro"/>
        </w:rPr>
        <w:t>LA South Chamber of Commerce</w:t>
      </w:r>
    </w:p>
    <w:p w14:paraId="77772AF7" w14:textId="77777777" w:rsidR="00803CA7" w:rsidRDefault="00803CA7" w:rsidP="00606D3F">
      <w:pPr>
        <w:rPr>
          <w:rFonts w:ascii="Acumin Pro" w:hAnsi="Acumin Pro"/>
        </w:rPr>
      </w:pPr>
      <w:r w:rsidRPr="00606D3F">
        <w:rPr>
          <w:rFonts w:ascii="Acumin Pro" w:hAnsi="Acumin Pro"/>
        </w:rPr>
        <w:t>National Federation of Independent Business</w:t>
      </w:r>
    </w:p>
    <w:p w14:paraId="606526B2" w14:textId="37A35855" w:rsidR="00DB7A66" w:rsidRPr="00576041" w:rsidRDefault="00803CA7" w:rsidP="00606D3F">
      <w:pPr>
        <w:rPr>
          <w:rFonts w:ascii="Acumin Pro" w:hAnsi="Acumin Pro"/>
        </w:rPr>
      </w:pPr>
      <w:r w:rsidRPr="00576041">
        <w:rPr>
          <w:rFonts w:ascii="Acumin Pro" w:hAnsi="Acumin Pro"/>
        </w:rPr>
        <w:t xml:space="preserve">News Media Alliance </w:t>
      </w:r>
    </w:p>
    <w:p w14:paraId="02071A1D" w14:textId="77777777" w:rsidR="00803CA7" w:rsidRDefault="00803CA7" w:rsidP="00606D3F">
      <w:pPr>
        <w:rPr>
          <w:rFonts w:ascii="Acumin Pro" w:hAnsi="Acumin Pro"/>
        </w:rPr>
      </w:pPr>
      <w:r w:rsidRPr="007C1A05">
        <w:rPr>
          <w:rFonts w:ascii="Acumin Pro" w:hAnsi="Acumin Pro"/>
        </w:rPr>
        <w:t>Silicon Valley Leadership Group</w:t>
      </w:r>
    </w:p>
    <w:p w14:paraId="658184FA" w14:textId="77777777" w:rsidR="00803CA7" w:rsidRDefault="00803CA7" w:rsidP="00606D3F">
      <w:pPr>
        <w:rPr>
          <w:rFonts w:ascii="Acumin Pro" w:hAnsi="Acumin Pro"/>
        </w:rPr>
      </w:pPr>
      <w:r>
        <w:rPr>
          <w:rFonts w:ascii="Acumin Pro" w:hAnsi="Acumin Pro"/>
        </w:rPr>
        <w:t xml:space="preserve">State Privacy and Security Coalition </w:t>
      </w:r>
    </w:p>
    <w:p w14:paraId="3FCB7092" w14:textId="4CDF4431" w:rsidR="003677E1" w:rsidRPr="003677E1" w:rsidRDefault="00803CA7">
      <w:pPr>
        <w:rPr>
          <w:rFonts w:ascii="Acumin Pro" w:hAnsi="Acumin Pro"/>
        </w:rPr>
      </w:pPr>
      <w:r w:rsidRPr="007C1A05">
        <w:rPr>
          <w:rFonts w:ascii="Acumin Pro" w:hAnsi="Acumin Pro"/>
        </w:rPr>
        <w:t>TechNet</w:t>
      </w:r>
    </w:p>
    <w:sectPr w:rsidR="003677E1" w:rsidRPr="003677E1" w:rsidSect="001A5FEE">
      <w:footerReference w:type="even"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8E218" w14:textId="77777777" w:rsidR="000240DD" w:rsidRDefault="000240DD" w:rsidP="001F06B2">
      <w:pPr>
        <w:spacing w:after="0" w:line="240" w:lineRule="auto"/>
      </w:pPr>
      <w:r>
        <w:separator/>
      </w:r>
    </w:p>
  </w:endnote>
  <w:endnote w:type="continuationSeparator" w:id="0">
    <w:p w14:paraId="3AD479D4" w14:textId="77777777" w:rsidR="000240DD" w:rsidRDefault="000240DD" w:rsidP="001F0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cumin Pro">
    <w:panose1 w:val="020B0604020202020204"/>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8324130"/>
      <w:docPartObj>
        <w:docPartGallery w:val="Page Numbers (Bottom of Page)"/>
        <w:docPartUnique/>
      </w:docPartObj>
    </w:sdtPr>
    <w:sdtContent>
      <w:p w14:paraId="0B0A8F3E" w14:textId="5FC345D7" w:rsidR="005F29F8" w:rsidRDefault="005F29F8" w:rsidP="00A969A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F9BADC" w14:textId="77777777" w:rsidR="005F29F8" w:rsidRDefault="005F29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3839665"/>
      <w:docPartObj>
        <w:docPartGallery w:val="Page Numbers (Bottom of Page)"/>
        <w:docPartUnique/>
      </w:docPartObj>
    </w:sdtPr>
    <w:sdtContent>
      <w:p w14:paraId="7AE6968B" w14:textId="2506A435" w:rsidR="005F29F8" w:rsidRDefault="005F29F8" w:rsidP="00A969A5">
        <w:pPr>
          <w:pStyle w:val="Footer"/>
          <w:framePr w:wrap="none" w:vAnchor="text" w:hAnchor="margin" w:xAlign="center" w:y="1"/>
          <w:rPr>
            <w:rStyle w:val="PageNumber"/>
          </w:rPr>
        </w:pPr>
        <w:r w:rsidRPr="005F29F8">
          <w:rPr>
            <w:rStyle w:val="PageNumber"/>
            <w:rFonts w:ascii="Acumin Pro" w:hAnsi="Acumin Pro"/>
          </w:rPr>
          <w:fldChar w:fldCharType="begin"/>
        </w:r>
        <w:r w:rsidRPr="005F29F8">
          <w:rPr>
            <w:rStyle w:val="PageNumber"/>
            <w:rFonts w:ascii="Acumin Pro" w:hAnsi="Acumin Pro"/>
          </w:rPr>
          <w:instrText xml:space="preserve"> PAGE </w:instrText>
        </w:r>
        <w:r w:rsidRPr="005F29F8">
          <w:rPr>
            <w:rStyle w:val="PageNumber"/>
            <w:rFonts w:ascii="Acumin Pro" w:hAnsi="Acumin Pro"/>
          </w:rPr>
          <w:fldChar w:fldCharType="separate"/>
        </w:r>
        <w:r w:rsidRPr="005F29F8">
          <w:rPr>
            <w:rStyle w:val="PageNumber"/>
            <w:rFonts w:ascii="Acumin Pro" w:hAnsi="Acumin Pro"/>
            <w:noProof/>
          </w:rPr>
          <w:t>2</w:t>
        </w:r>
        <w:r w:rsidRPr="005F29F8">
          <w:rPr>
            <w:rStyle w:val="PageNumber"/>
            <w:rFonts w:ascii="Acumin Pro" w:hAnsi="Acumin Pro"/>
          </w:rPr>
          <w:fldChar w:fldCharType="end"/>
        </w:r>
      </w:p>
    </w:sdtContent>
  </w:sdt>
  <w:p w14:paraId="3A269075" w14:textId="77777777" w:rsidR="005F29F8" w:rsidRDefault="005F29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5524272"/>
      <w:docPartObj>
        <w:docPartGallery w:val="Page Numbers (Bottom of Page)"/>
        <w:docPartUnique/>
      </w:docPartObj>
    </w:sdtPr>
    <w:sdtEndPr>
      <w:rPr>
        <w:rStyle w:val="PageNumber"/>
        <w:rFonts w:ascii="Acumin Pro" w:hAnsi="Acumin Pro"/>
      </w:rPr>
    </w:sdtEndPr>
    <w:sdtContent>
      <w:p w14:paraId="618E2826" w14:textId="0D96F297" w:rsidR="006451D8" w:rsidRDefault="006451D8" w:rsidP="00A969A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5CCC02" w14:textId="77777777" w:rsidR="006451D8" w:rsidRDefault="00645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C4065" w14:textId="77777777" w:rsidR="000240DD" w:rsidRDefault="000240DD" w:rsidP="001F06B2">
      <w:pPr>
        <w:spacing w:after="0" w:line="240" w:lineRule="auto"/>
      </w:pPr>
      <w:r>
        <w:separator/>
      </w:r>
    </w:p>
  </w:footnote>
  <w:footnote w:type="continuationSeparator" w:id="0">
    <w:p w14:paraId="7F95C2E6" w14:textId="77777777" w:rsidR="000240DD" w:rsidRDefault="000240DD" w:rsidP="001F0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CC2C" w14:textId="5A89778B" w:rsidR="001E003F" w:rsidRDefault="0083691F">
    <w:pPr>
      <w:pStyle w:val="Header"/>
    </w:pPr>
    <w:r>
      <w:rPr>
        <w:noProof/>
      </w:rPr>
      <w:drawing>
        <wp:anchor distT="0" distB="0" distL="114300" distR="114300" simplePos="0" relativeHeight="251675648" behindDoc="0" locked="0" layoutInCell="1" allowOverlap="1" wp14:anchorId="73D1249E" wp14:editId="3D0C3B9D">
          <wp:simplePos x="0" y="0"/>
          <wp:positionH relativeFrom="column">
            <wp:posOffset>5575984</wp:posOffset>
          </wp:positionH>
          <wp:positionV relativeFrom="paragraph">
            <wp:posOffset>465943</wp:posOffset>
          </wp:positionV>
          <wp:extent cx="508000" cy="508000"/>
          <wp:effectExtent l="0" t="0" r="0" b="0"/>
          <wp:wrapSquare wrapText="bothSides"/>
          <wp:docPr id="532844187" name="Picture 1" descr="A blue and white bear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44187" name="Picture 1" descr="A blue and white bear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14:sizeRelH relativeFrom="margin">
            <wp14:pctWidth>0</wp14:pctWidth>
          </wp14:sizeRelH>
          <wp14:sizeRelV relativeFrom="margin">
            <wp14:pctHeight>0</wp14:pctHeight>
          </wp14:sizeRelV>
        </wp:anchor>
      </w:drawing>
    </w:r>
    <w:r w:rsidR="00C845B4">
      <w:rPr>
        <w:noProof/>
      </w:rPr>
      <w:drawing>
        <wp:anchor distT="0" distB="0" distL="114300" distR="114300" simplePos="0" relativeHeight="251665408" behindDoc="0" locked="0" layoutInCell="1" allowOverlap="1" wp14:anchorId="6139BD58" wp14:editId="2704E5BB">
          <wp:simplePos x="0" y="0"/>
          <wp:positionH relativeFrom="column">
            <wp:posOffset>5319361</wp:posOffset>
          </wp:positionH>
          <wp:positionV relativeFrom="paragraph">
            <wp:posOffset>-52105</wp:posOffset>
          </wp:positionV>
          <wp:extent cx="1165860" cy="416560"/>
          <wp:effectExtent l="0" t="0" r="2540" b="2540"/>
          <wp:wrapSquare wrapText="bothSides"/>
          <wp:docPr id="666828072"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28072" name="Picture 1" descr="A black letter on a white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65860" cy="416560"/>
                  </a:xfrm>
                  <a:prstGeom prst="rect">
                    <a:avLst/>
                  </a:prstGeom>
                </pic:spPr>
              </pic:pic>
            </a:graphicData>
          </a:graphic>
        </wp:anchor>
      </w:drawing>
    </w:r>
    <w:r w:rsidR="00C845B4">
      <w:rPr>
        <w:noProof/>
      </w:rPr>
      <w:drawing>
        <wp:anchor distT="0" distB="0" distL="114300" distR="114300" simplePos="0" relativeHeight="251673600" behindDoc="0" locked="0" layoutInCell="1" allowOverlap="1" wp14:anchorId="7DBCA51D" wp14:editId="1B48457A">
          <wp:simplePos x="0" y="0"/>
          <wp:positionH relativeFrom="column">
            <wp:posOffset>3959757</wp:posOffset>
          </wp:positionH>
          <wp:positionV relativeFrom="paragraph">
            <wp:posOffset>-44862</wp:posOffset>
          </wp:positionV>
          <wp:extent cx="1356995" cy="389890"/>
          <wp:effectExtent l="0" t="0" r="1905" b="3810"/>
          <wp:wrapSquare wrapText="bothSides"/>
          <wp:docPr id="1167599160" name="Picture 7" descr="A black and yellow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99160" name="Picture 7" descr="A black and yellow rectangle with black text&#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356995" cy="389890"/>
                  </a:xfrm>
                  <a:prstGeom prst="rect">
                    <a:avLst/>
                  </a:prstGeom>
                </pic:spPr>
              </pic:pic>
            </a:graphicData>
          </a:graphic>
        </wp:anchor>
      </w:drawing>
    </w:r>
    <w:r w:rsidR="00C845B4">
      <w:rPr>
        <w:noProof/>
      </w:rPr>
      <w:drawing>
        <wp:anchor distT="0" distB="0" distL="114300" distR="114300" simplePos="0" relativeHeight="251668480" behindDoc="0" locked="0" layoutInCell="1" allowOverlap="1" wp14:anchorId="661C1420" wp14:editId="478B45D6">
          <wp:simplePos x="0" y="0"/>
          <wp:positionH relativeFrom="column">
            <wp:posOffset>2398326</wp:posOffset>
          </wp:positionH>
          <wp:positionV relativeFrom="paragraph">
            <wp:posOffset>67945</wp:posOffset>
          </wp:positionV>
          <wp:extent cx="1539240" cy="149225"/>
          <wp:effectExtent l="0" t="0" r="0" b="3175"/>
          <wp:wrapSquare wrapText="bothSides"/>
          <wp:docPr id="511651081" name="Picture 1" descr="A blue and black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51081" name="Picture 1" descr="A blue and black letter&#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539240" cy="149225"/>
                  </a:xfrm>
                  <a:prstGeom prst="rect">
                    <a:avLst/>
                  </a:prstGeom>
                </pic:spPr>
              </pic:pic>
            </a:graphicData>
          </a:graphic>
        </wp:anchor>
      </w:drawing>
    </w:r>
    <w:r w:rsidR="00C845B4">
      <w:rPr>
        <w:noProof/>
      </w:rPr>
      <w:drawing>
        <wp:anchor distT="0" distB="0" distL="114300" distR="114300" simplePos="0" relativeHeight="251663360" behindDoc="0" locked="0" layoutInCell="1" allowOverlap="1" wp14:anchorId="14C71334" wp14:editId="41BC84B2">
          <wp:simplePos x="0" y="0"/>
          <wp:positionH relativeFrom="column">
            <wp:posOffset>1384867</wp:posOffset>
          </wp:positionH>
          <wp:positionV relativeFrom="paragraph">
            <wp:posOffset>-45102</wp:posOffset>
          </wp:positionV>
          <wp:extent cx="1111250" cy="421640"/>
          <wp:effectExtent l="0" t="0" r="6350" b="0"/>
          <wp:wrapSquare wrapText="bothSides"/>
          <wp:docPr id="605800936" name="Picture 1" descr="A logo with text and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00936" name="Picture 1" descr="A logo with text and a map&#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11250" cy="421640"/>
                  </a:xfrm>
                  <a:prstGeom prst="rect">
                    <a:avLst/>
                  </a:prstGeom>
                </pic:spPr>
              </pic:pic>
            </a:graphicData>
          </a:graphic>
        </wp:anchor>
      </w:drawing>
    </w:r>
    <w:r w:rsidR="00C845B4">
      <w:rPr>
        <w:noProof/>
      </w:rPr>
      <w:drawing>
        <wp:anchor distT="0" distB="0" distL="114300" distR="114300" simplePos="0" relativeHeight="251660288" behindDoc="0" locked="0" layoutInCell="1" allowOverlap="1" wp14:anchorId="39C716A8" wp14:editId="27EF58E4">
          <wp:simplePos x="0" y="0"/>
          <wp:positionH relativeFrom="column">
            <wp:posOffset>-195803</wp:posOffset>
          </wp:positionH>
          <wp:positionV relativeFrom="paragraph">
            <wp:posOffset>-108585</wp:posOffset>
          </wp:positionV>
          <wp:extent cx="819785" cy="487045"/>
          <wp:effectExtent l="0" t="0" r="0" b="0"/>
          <wp:wrapSquare wrapText="bothSides"/>
          <wp:docPr id="1604347501"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47501" name="Picture 1" descr="A logo of a company&#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819785" cy="487045"/>
                  </a:xfrm>
                  <a:prstGeom prst="rect">
                    <a:avLst/>
                  </a:prstGeom>
                </pic:spPr>
              </pic:pic>
            </a:graphicData>
          </a:graphic>
        </wp:anchor>
      </w:drawing>
    </w:r>
    <w:r w:rsidR="00C845B4">
      <w:rPr>
        <w:noProof/>
      </w:rPr>
      <w:drawing>
        <wp:anchor distT="0" distB="0" distL="114300" distR="114300" simplePos="0" relativeHeight="251659264" behindDoc="0" locked="0" layoutInCell="1" allowOverlap="1" wp14:anchorId="48145DAC" wp14:editId="67EB3D3A">
          <wp:simplePos x="0" y="0"/>
          <wp:positionH relativeFrom="column">
            <wp:posOffset>682625</wp:posOffset>
          </wp:positionH>
          <wp:positionV relativeFrom="paragraph">
            <wp:posOffset>-110490</wp:posOffset>
          </wp:positionV>
          <wp:extent cx="657860" cy="506730"/>
          <wp:effectExtent l="0" t="0" r="2540" b="1270"/>
          <wp:wrapSquare wrapText="bothSides"/>
          <wp:docPr id="1107496937"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96937" name="Picture 1" descr="A logo with text overlay&#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57860" cy="506730"/>
                  </a:xfrm>
                  <a:prstGeom prst="rect">
                    <a:avLst/>
                  </a:prstGeom>
                </pic:spPr>
              </pic:pic>
            </a:graphicData>
          </a:graphic>
        </wp:anchor>
      </w:drawing>
    </w:r>
  </w:p>
  <w:p w14:paraId="22764803" w14:textId="4B23D2EA" w:rsidR="00C845B4" w:rsidRDefault="0083691F">
    <w:pPr>
      <w:pStyle w:val="Header"/>
    </w:pPr>
    <w:r>
      <w:rPr>
        <w:noProof/>
      </w:rPr>
      <w:drawing>
        <wp:anchor distT="0" distB="0" distL="114300" distR="114300" simplePos="0" relativeHeight="251671552" behindDoc="0" locked="0" layoutInCell="1" allowOverlap="1" wp14:anchorId="13C936FD" wp14:editId="3FE3DE22">
          <wp:simplePos x="0" y="0"/>
          <wp:positionH relativeFrom="column">
            <wp:posOffset>4057845</wp:posOffset>
          </wp:positionH>
          <wp:positionV relativeFrom="paragraph">
            <wp:posOffset>753012</wp:posOffset>
          </wp:positionV>
          <wp:extent cx="898525" cy="477520"/>
          <wp:effectExtent l="0" t="0" r="3175" b="5080"/>
          <wp:wrapSquare wrapText="bothSides"/>
          <wp:docPr id="698963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6301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898525" cy="477520"/>
                  </a:xfrm>
                  <a:prstGeom prst="rect">
                    <a:avLst/>
                  </a:prstGeom>
                </pic:spPr>
              </pic:pic>
            </a:graphicData>
          </a:graphic>
        </wp:anchor>
      </w:drawing>
    </w:r>
    <w:r w:rsidR="00C845B4">
      <w:rPr>
        <w:noProof/>
      </w:rPr>
      <w:drawing>
        <wp:anchor distT="0" distB="0" distL="114300" distR="114300" simplePos="0" relativeHeight="251662336" behindDoc="0" locked="0" layoutInCell="1" allowOverlap="1" wp14:anchorId="0024E6F7" wp14:editId="558163CF">
          <wp:simplePos x="0" y="0"/>
          <wp:positionH relativeFrom="column">
            <wp:posOffset>4798506</wp:posOffset>
          </wp:positionH>
          <wp:positionV relativeFrom="paragraph">
            <wp:posOffset>17762</wp:posOffset>
          </wp:positionV>
          <wp:extent cx="480695" cy="561340"/>
          <wp:effectExtent l="0" t="0" r="0" b="0"/>
          <wp:wrapSquare wrapText="bothSides"/>
          <wp:docPr id="152492082" name="Picture 1" descr="A logo with a state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2082" name="Picture 1" descr="A logo with a state and a building&#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0695" cy="561340"/>
                  </a:xfrm>
                  <a:prstGeom prst="rect">
                    <a:avLst/>
                  </a:prstGeom>
                </pic:spPr>
              </pic:pic>
            </a:graphicData>
          </a:graphic>
        </wp:anchor>
      </w:drawing>
    </w:r>
    <w:r w:rsidR="00C845B4">
      <w:rPr>
        <w:noProof/>
      </w:rPr>
      <w:drawing>
        <wp:anchor distT="0" distB="0" distL="114300" distR="114300" simplePos="0" relativeHeight="251667456" behindDoc="0" locked="0" layoutInCell="1" allowOverlap="1" wp14:anchorId="727974FF" wp14:editId="5A71FE53">
          <wp:simplePos x="0" y="0"/>
          <wp:positionH relativeFrom="column">
            <wp:posOffset>3636627</wp:posOffset>
          </wp:positionH>
          <wp:positionV relativeFrom="paragraph">
            <wp:posOffset>105410</wp:posOffset>
          </wp:positionV>
          <wp:extent cx="993140" cy="333375"/>
          <wp:effectExtent l="0" t="0" r="0" b="0"/>
          <wp:wrapSquare wrapText="bothSides"/>
          <wp:docPr id="76834485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44852" name="Picture 1" descr="A black text on a white background&#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993140" cy="333375"/>
                  </a:xfrm>
                  <a:prstGeom prst="rect">
                    <a:avLst/>
                  </a:prstGeom>
                </pic:spPr>
              </pic:pic>
            </a:graphicData>
          </a:graphic>
        </wp:anchor>
      </w:drawing>
    </w:r>
    <w:r w:rsidR="00C845B4">
      <w:rPr>
        <w:noProof/>
      </w:rPr>
      <w:drawing>
        <wp:anchor distT="0" distB="0" distL="114300" distR="114300" simplePos="0" relativeHeight="251664384" behindDoc="0" locked="0" layoutInCell="1" allowOverlap="1" wp14:anchorId="2ED80411" wp14:editId="75F69173">
          <wp:simplePos x="0" y="0"/>
          <wp:positionH relativeFrom="column">
            <wp:posOffset>2763057</wp:posOffset>
          </wp:positionH>
          <wp:positionV relativeFrom="paragraph">
            <wp:posOffset>81521</wp:posOffset>
          </wp:positionV>
          <wp:extent cx="781685" cy="424180"/>
          <wp:effectExtent l="0" t="0" r="5715" b="0"/>
          <wp:wrapSquare wrapText="bothSides"/>
          <wp:docPr id="1627877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742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81685" cy="424180"/>
                  </a:xfrm>
                  <a:prstGeom prst="rect">
                    <a:avLst/>
                  </a:prstGeom>
                </pic:spPr>
              </pic:pic>
            </a:graphicData>
          </a:graphic>
        </wp:anchor>
      </w:drawing>
    </w:r>
    <w:r w:rsidR="00C845B4">
      <w:rPr>
        <w:noProof/>
      </w:rPr>
      <w:drawing>
        <wp:anchor distT="0" distB="0" distL="114300" distR="114300" simplePos="0" relativeHeight="251670528" behindDoc="0" locked="0" layoutInCell="1" allowOverlap="1" wp14:anchorId="00502AC1" wp14:editId="5E169E01">
          <wp:simplePos x="0" y="0"/>
          <wp:positionH relativeFrom="column">
            <wp:posOffset>2063801</wp:posOffset>
          </wp:positionH>
          <wp:positionV relativeFrom="paragraph">
            <wp:posOffset>57510</wp:posOffset>
          </wp:positionV>
          <wp:extent cx="520065" cy="520065"/>
          <wp:effectExtent l="0" t="0" r="635" b="635"/>
          <wp:wrapSquare wrapText="bothSides"/>
          <wp:docPr id="189322061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20614" name="Picture 1" descr="A close-up of a logo&#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0065" cy="520065"/>
                  </a:xfrm>
                  <a:prstGeom prst="rect">
                    <a:avLst/>
                  </a:prstGeom>
                </pic:spPr>
              </pic:pic>
            </a:graphicData>
          </a:graphic>
        </wp:anchor>
      </w:drawing>
    </w:r>
    <w:r w:rsidR="00C845B4">
      <w:rPr>
        <w:noProof/>
      </w:rPr>
      <w:drawing>
        <wp:anchor distT="0" distB="0" distL="114300" distR="114300" simplePos="0" relativeHeight="251669504" behindDoc="0" locked="0" layoutInCell="1" allowOverlap="1" wp14:anchorId="1E69DDB6" wp14:editId="44ADE640">
          <wp:simplePos x="0" y="0"/>
          <wp:positionH relativeFrom="column">
            <wp:posOffset>1011555</wp:posOffset>
          </wp:positionH>
          <wp:positionV relativeFrom="paragraph">
            <wp:posOffset>104140</wp:posOffset>
          </wp:positionV>
          <wp:extent cx="956945" cy="424180"/>
          <wp:effectExtent l="0" t="0" r="0" b="0"/>
          <wp:wrapSquare wrapText="bothSides"/>
          <wp:docPr id="319528698"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28698" name="Picture 1" descr="A logo for a company&#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56945" cy="424180"/>
                  </a:xfrm>
                  <a:prstGeom prst="rect">
                    <a:avLst/>
                  </a:prstGeom>
                </pic:spPr>
              </pic:pic>
            </a:graphicData>
          </a:graphic>
        </wp:anchor>
      </w:drawing>
    </w:r>
    <w:r w:rsidR="00C845B4">
      <w:rPr>
        <w:noProof/>
      </w:rPr>
      <w:drawing>
        <wp:anchor distT="0" distB="0" distL="114300" distR="114300" simplePos="0" relativeHeight="251666432" behindDoc="0" locked="0" layoutInCell="1" allowOverlap="1" wp14:anchorId="0715D6B8" wp14:editId="01B85B99">
          <wp:simplePos x="0" y="0"/>
          <wp:positionH relativeFrom="column">
            <wp:posOffset>-242501</wp:posOffset>
          </wp:positionH>
          <wp:positionV relativeFrom="paragraph">
            <wp:posOffset>104603</wp:posOffset>
          </wp:positionV>
          <wp:extent cx="1095375" cy="471805"/>
          <wp:effectExtent l="0" t="0" r="0" b="0"/>
          <wp:wrapSquare wrapText="bothSides"/>
          <wp:docPr id="1616347401" name="Picture 1" descr="A colorful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47401" name="Picture 1" descr="A colorful lines on a black background&#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95375" cy="471805"/>
                  </a:xfrm>
                  <a:prstGeom prst="rect">
                    <a:avLst/>
                  </a:prstGeom>
                </pic:spPr>
              </pic:pic>
            </a:graphicData>
          </a:graphic>
        </wp:anchor>
      </w:drawing>
    </w:r>
    <w:r w:rsidR="00C845B4">
      <w:rPr>
        <w:noProof/>
      </w:rPr>
      <w:drawing>
        <wp:anchor distT="0" distB="0" distL="114300" distR="114300" simplePos="0" relativeHeight="251674624" behindDoc="0" locked="0" layoutInCell="1" allowOverlap="1" wp14:anchorId="297954A2" wp14:editId="72D5F879">
          <wp:simplePos x="0" y="0"/>
          <wp:positionH relativeFrom="column">
            <wp:posOffset>688426</wp:posOffset>
          </wp:positionH>
          <wp:positionV relativeFrom="paragraph">
            <wp:posOffset>773620</wp:posOffset>
          </wp:positionV>
          <wp:extent cx="1120140" cy="619760"/>
          <wp:effectExtent l="0" t="0" r="0" b="2540"/>
          <wp:wrapSquare wrapText="bothSides"/>
          <wp:docPr id="1528805899" name="Picture 8" descr="A logo of a law fi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05899" name="Picture 8" descr="A logo of a law firm&#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20140" cy="619760"/>
                  </a:xfrm>
                  <a:prstGeom prst="rect">
                    <a:avLst/>
                  </a:prstGeom>
                </pic:spPr>
              </pic:pic>
            </a:graphicData>
          </a:graphic>
        </wp:anchor>
      </w:drawing>
    </w:r>
    <w:r w:rsidR="00C845B4">
      <w:rPr>
        <w:noProof/>
      </w:rPr>
      <w:drawing>
        <wp:anchor distT="0" distB="0" distL="114300" distR="114300" simplePos="0" relativeHeight="251672576" behindDoc="0" locked="0" layoutInCell="1" allowOverlap="1" wp14:anchorId="79B117A1" wp14:editId="1B6AF08C">
          <wp:simplePos x="0" y="0"/>
          <wp:positionH relativeFrom="column">
            <wp:posOffset>1858010</wp:posOffset>
          </wp:positionH>
          <wp:positionV relativeFrom="paragraph">
            <wp:posOffset>664278</wp:posOffset>
          </wp:positionV>
          <wp:extent cx="993140" cy="632460"/>
          <wp:effectExtent l="0" t="0" r="0" b="2540"/>
          <wp:wrapSquare wrapText="bothSides"/>
          <wp:docPr id="765991286" name="Picture 2" descr="BERKELEY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91286" name="Picture 2" descr="BERKELEY CHAMBER OF COMMERC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3140" cy="632460"/>
                  </a:xfrm>
                  <a:prstGeom prst="rect">
                    <a:avLst/>
                  </a:prstGeom>
                  <a:noFill/>
                  <a:ln>
                    <a:noFill/>
                  </a:ln>
                </pic:spPr>
              </pic:pic>
            </a:graphicData>
          </a:graphic>
        </wp:anchor>
      </w:drawing>
    </w:r>
  </w:p>
  <w:p w14:paraId="45F6603E" w14:textId="3B15B740" w:rsidR="0083691F" w:rsidRDefault="0083691F">
    <w:pPr>
      <w:pStyle w:val="Header"/>
    </w:pPr>
    <w:r>
      <w:rPr>
        <w:noProof/>
      </w:rPr>
      <w:drawing>
        <wp:anchor distT="0" distB="0" distL="114300" distR="114300" simplePos="0" relativeHeight="251661312" behindDoc="0" locked="0" layoutInCell="1" allowOverlap="1" wp14:anchorId="4EB2D7E4" wp14:editId="6CAAFCB9">
          <wp:simplePos x="0" y="0"/>
          <wp:positionH relativeFrom="column">
            <wp:posOffset>5023680</wp:posOffset>
          </wp:positionH>
          <wp:positionV relativeFrom="paragraph">
            <wp:posOffset>184785</wp:posOffset>
          </wp:positionV>
          <wp:extent cx="1240790" cy="425450"/>
          <wp:effectExtent l="0" t="0" r="3810" b="6350"/>
          <wp:wrapSquare wrapText="bothSides"/>
          <wp:docPr id="904910109"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10109" name="Picture 1" descr="A blue and white logo&#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40790" cy="425450"/>
                  </a:xfrm>
                  <a:prstGeom prst="rect">
                    <a:avLst/>
                  </a:prstGeom>
                </pic:spPr>
              </pic:pic>
            </a:graphicData>
          </a:graphic>
        </wp:anchor>
      </w:drawing>
    </w:r>
    <w:r>
      <w:rPr>
        <w:noProof/>
      </w:rPr>
      <w:drawing>
        <wp:anchor distT="0" distB="0" distL="114300" distR="114300" simplePos="0" relativeHeight="251677696" behindDoc="0" locked="0" layoutInCell="1" allowOverlap="1" wp14:anchorId="2BD70A33" wp14:editId="34042951">
          <wp:simplePos x="0" y="0"/>
          <wp:positionH relativeFrom="column">
            <wp:posOffset>-200025</wp:posOffset>
          </wp:positionH>
          <wp:positionV relativeFrom="paragraph">
            <wp:posOffset>178728</wp:posOffset>
          </wp:positionV>
          <wp:extent cx="617855" cy="660400"/>
          <wp:effectExtent l="0" t="0" r="4445" b="0"/>
          <wp:wrapSquare wrapText="bothSides"/>
          <wp:docPr id="1141052244"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52244" name="Picture 1" descr="A blue background with white text&#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7855" cy="660400"/>
                  </a:xfrm>
                  <a:prstGeom prst="rect">
                    <a:avLst/>
                  </a:prstGeom>
                </pic:spPr>
              </pic:pic>
            </a:graphicData>
          </a:graphic>
        </wp:anchor>
      </w:drawing>
    </w:r>
  </w:p>
  <w:p w14:paraId="79A9C7AD" w14:textId="061D9580" w:rsidR="0083691F" w:rsidRDefault="0083691F">
    <w:pPr>
      <w:pStyle w:val="Header"/>
    </w:pPr>
    <w:r w:rsidRPr="0083691F">
      <w:drawing>
        <wp:anchor distT="0" distB="0" distL="114300" distR="114300" simplePos="0" relativeHeight="251678720" behindDoc="0" locked="0" layoutInCell="1" allowOverlap="1" wp14:anchorId="22052795" wp14:editId="05A94444">
          <wp:simplePos x="0" y="0"/>
          <wp:positionH relativeFrom="margin">
            <wp:posOffset>2929792</wp:posOffset>
          </wp:positionH>
          <wp:positionV relativeFrom="margin">
            <wp:posOffset>-775824</wp:posOffset>
          </wp:positionV>
          <wp:extent cx="1010920" cy="368935"/>
          <wp:effectExtent l="0" t="0" r="5080" b="0"/>
          <wp:wrapSquare wrapText="bothSides"/>
          <wp:docPr id="1173515353" name="Picture 1" descr="A logo for a insurance ag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15353" name="Picture 1" descr="A logo for a insurance agenc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010920" cy="368935"/>
                  </a:xfrm>
                  <a:prstGeom prst="rect">
                    <a:avLst/>
                  </a:prstGeom>
                </pic:spPr>
              </pic:pic>
            </a:graphicData>
          </a:graphic>
          <wp14:sizeRelV relativeFrom="margin">
            <wp14:pctHeight>0</wp14:pctHeight>
          </wp14:sizeRelV>
        </wp:anchor>
      </w:drawing>
    </w:r>
  </w:p>
  <w:p w14:paraId="124B84DF" w14:textId="1BFFBBBB" w:rsidR="0083691F" w:rsidRDefault="0083691F">
    <w:pPr>
      <w:pStyle w:val="Header"/>
    </w:pPr>
  </w:p>
  <w:p w14:paraId="6C583F7C" w14:textId="0DDF0FD7" w:rsidR="0083691F" w:rsidRDefault="0083691F">
    <w:pPr>
      <w:pStyle w:val="Header"/>
    </w:pPr>
  </w:p>
  <w:p w14:paraId="1BADF76A" w14:textId="37AFAD7F" w:rsidR="00DC56AF" w:rsidRDefault="00557681">
    <w:pPr>
      <w:pStyle w:val="Header"/>
    </w:pPr>
    <w:r>
      <w:fldChar w:fldCharType="begin"/>
    </w:r>
    <w:r>
      <w:instrText xml:space="preserve"> INCLUDEPICTURE "https://www.berkeleychamber.com/uploads/1/2/1/0/121097581/published/bclogo-rainbow.png?1559159709" \* MERGEFORMATINET </w:instrText>
    </w:r>
    <w:r w:rsidR="00000000">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1136D"/>
    <w:multiLevelType w:val="hybridMultilevel"/>
    <w:tmpl w:val="E190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21647E"/>
    <w:multiLevelType w:val="hybridMultilevel"/>
    <w:tmpl w:val="D9A404E8"/>
    <w:lvl w:ilvl="0" w:tplc="9F96B2E0">
      <w:start w:val="10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DDB1BB2"/>
    <w:multiLevelType w:val="hybridMultilevel"/>
    <w:tmpl w:val="DDB89194"/>
    <w:lvl w:ilvl="0" w:tplc="480EA5B0">
      <w:start w:val="10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75463243">
    <w:abstractNumId w:val="2"/>
  </w:num>
  <w:num w:numId="2" w16cid:durableId="2032756364">
    <w:abstractNumId w:val="1"/>
  </w:num>
  <w:num w:numId="3" w16cid:durableId="1906142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8B7"/>
    <w:rsid w:val="000240DD"/>
    <w:rsid w:val="000247C0"/>
    <w:rsid w:val="00025D76"/>
    <w:rsid w:val="000E0C65"/>
    <w:rsid w:val="000F7A73"/>
    <w:rsid w:val="00106FF4"/>
    <w:rsid w:val="00130C88"/>
    <w:rsid w:val="00164D62"/>
    <w:rsid w:val="001A5FEE"/>
    <w:rsid w:val="001E003F"/>
    <w:rsid w:val="001E4861"/>
    <w:rsid w:val="001F06B2"/>
    <w:rsid w:val="00223A8F"/>
    <w:rsid w:val="00240642"/>
    <w:rsid w:val="00271D17"/>
    <w:rsid w:val="002A1C06"/>
    <w:rsid w:val="002D3FD9"/>
    <w:rsid w:val="002D6483"/>
    <w:rsid w:val="002E54D4"/>
    <w:rsid w:val="003453E8"/>
    <w:rsid w:val="003677E1"/>
    <w:rsid w:val="003A04DC"/>
    <w:rsid w:val="003A3BD9"/>
    <w:rsid w:val="004268E3"/>
    <w:rsid w:val="0045202C"/>
    <w:rsid w:val="004B797F"/>
    <w:rsid w:val="004C3B3C"/>
    <w:rsid w:val="00503D1B"/>
    <w:rsid w:val="00557681"/>
    <w:rsid w:val="00576041"/>
    <w:rsid w:val="005860AC"/>
    <w:rsid w:val="005A29F9"/>
    <w:rsid w:val="005A3C6C"/>
    <w:rsid w:val="005C598A"/>
    <w:rsid w:val="005F29F8"/>
    <w:rsid w:val="00606D3F"/>
    <w:rsid w:val="0061777F"/>
    <w:rsid w:val="00632369"/>
    <w:rsid w:val="006451D8"/>
    <w:rsid w:val="00673FF5"/>
    <w:rsid w:val="00684E20"/>
    <w:rsid w:val="00684E3A"/>
    <w:rsid w:val="006E0B39"/>
    <w:rsid w:val="006F4985"/>
    <w:rsid w:val="006F782D"/>
    <w:rsid w:val="00755A66"/>
    <w:rsid w:val="007C1A05"/>
    <w:rsid w:val="00803CA7"/>
    <w:rsid w:val="0083691F"/>
    <w:rsid w:val="008418B7"/>
    <w:rsid w:val="00887B35"/>
    <w:rsid w:val="00913AE9"/>
    <w:rsid w:val="00917D75"/>
    <w:rsid w:val="00941835"/>
    <w:rsid w:val="00996391"/>
    <w:rsid w:val="009C4086"/>
    <w:rsid w:val="009D4FFE"/>
    <w:rsid w:val="00A20F08"/>
    <w:rsid w:val="00A254A4"/>
    <w:rsid w:val="00A553F9"/>
    <w:rsid w:val="00A6317C"/>
    <w:rsid w:val="00A90ED0"/>
    <w:rsid w:val="00A91670"/>
    <w:rsid w:val="00AC3F7E"/>
    <w:rsid w:val="00BC3FF6"/>
    <w:rsid w:val="00BD2B90"/>
    <w:rsid w:val="00BF073C"/>
    <w:rsid w:val="00C75569"/>
    <w:rsid w:val="00C845B4"/>
    <w:rsid w:val="00CA2AB9"/>
    <w:rsid w:val="00CC4A1E"/>
    <w:rsid w:val="00D45C2F"/>
    <w:rsid w:val="00DB3337"/>
    <w:rsid w:val="00DB7A66"/>
    <w:rsid w:val="00DC56AF"/>
    <w:rsid w:val="00DE0A49"/>
    <w:rsid w:val="00E32DC1"/>
    <w:rsid w:val="00E96BEC"/>
    <w:rsid w:val="00EA58FE"/>
    <w:rsid w:val="00EE72A8"/>
    <w:rsid w:val="00EF01B1"/>
    <w:rsid w:val="00F3243B"/>
    <w:rsid w:val="00FA374F"/>
    <w:rsid w:val="00FC434E"/>
    <w:rsid w:val="00FE1F09"/>
    <w:rsid w:val="00FF0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36C87"/>
  <w15:chartTrackingRefBased/>
  <w15:docId w15:val="{3740B38F-5707-AF40-A439-835678B0F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18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418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18B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418B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18B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418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18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18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18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18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418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18B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418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18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18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18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18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18B7"/>
    <w:rPr>
      <w:rFonts w:eastAsiaTheme="majorEastAsia" w:cstheme="majorBidi"/>
      <w:color w:val="272727" w:themeColor="text1" w:themeTint="D8"/>
    </w:rPr>
  </w:style>
  <w:style w:type="paragraph" w:styleId="Title">
    <w:name w:val="Title"/>
    <w:basedOn w:val="Normal"/>
    <w:next w:val="Normal"/>
    <w:link w:val="TitleChar"/>
    <w:uiPriority w:val="10"/>
    <w:qFormat/>
    <w:rsid w:val="008418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18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18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18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18B7"/>
    <w:pPr>
      <w:spacing w:before="160"/>
      <w:jc w:val="center"/>
    </w:pPr>
    <w:rPr>
      <w:i/>
      <w:iCs/>
      <w:color w:val="404040" w:themeColor="text1" w:themeTint="BF"/>
    </w:rPr>
  </w:style>
  <w:style w:type="character" w:customStyle="1" w:styleId="QuoteChar">
    <w:name w:val="Quote Char"/>
    <w:basedOn w:val="DefaultParagraphFont"/>
    <w:link w:val="Quote"/>
    <w:uiPriority w:val="29"/>
    <w:rsid w:val="008418B7"/>
    <w:rPr>
      <w:i/>
      <w:iCs/>
      <w:color w:val="404040" w:themeColor="text1" w:themeTint="BF"/>
    </w:rPr>
  </w:style>
  <w:style w:type="paragraph" w:styleId="ListParagraph">
    <w:name w:val="List Paragraph"/>
    <w:basedOn w:val="Normal"/>
    <w:uiPriority w:val="34"/>
    <w:qFormat/>
    <w:rsid w:val="008418B7"/>
    <w:pPr>
      <w:ind w:left="720"/>
      <w:contextualSpacing/>
    </w:pPr>
  </w:style>
  <w:style w:type="character" w:styleId="IntenseEmphasis">
    <w:name w:val="Intense Emphasis"/>
    <w:basedOn w:val="DefaultParagraphFont"/>
    <w:uiPriority w:val="21"/>
    <w:qFormat/>
    <w:rsid w:val="008418B7"/>
    <w:rPr>
      <w:i/>
      <w:iCs/>
      <w:color w:val="2F5496" w:themeColor="accent1" w:themeShade="BF"/>
    </w:rPr>
  </w:style>
  <w:style w:type="paragraph" w:styleId="IntenseQuote">
    <w:name w:val="Intense Quote"/>
    <w:basedOn w:val="Normal"/>
    <w:next w:val="Normal"/>
    <w:link w:val="IntenseQuoteChar"/>
    <w:uiPriority w:val="30"/>
    <w:qFormat/>
    <w:rsid w:val="008418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18B7"/>
    <w:rPr>
      <w:i/>
      <w:iCs/>
      <w:color w:val="2F5496" w:themeColor="accent1" w:themeShade="BF"/>
    </w:rPr>
  </w:style>
  <w:style w:type="character" w:styleId="IntenseReference">
    <w:name w:val="Intense Reference"/>
    <w:basedOn w:val="DefaultParagraphFont"/>
    <w:uiPriority w:val="32"/>
    <w:qFormat/>
    <w:rsid w:val="008418B7"/>
    <w:rPr>
      <w:b/>
      <w:bCs/>
      <w:smallCaps/>
      <w:color w:val="2F5496" w:themeColor="accent1" w:themeShade="BF"/>
      <w:spacing w:val="5"/>
    </w:rPr>
  </w:style>
  <w:style w:type="paragraph" w:styleId="NormalWeb">
    <w:name w:val="Normal (Web)"/>
    <w:basedOn w:val="Normal"/>
    <w:uiPriority w:val="99"/>
    <w:semiHidden/>
    <w:unhideWhenUsed/>
    <w:rsid w:val="008418B7"/>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3677E1"/>
    <w:pPr>
      <w:spacing w:after="0" w:line="240" w:lineRule="auto"/>
    </w:pPr>
  </w:style>
  <w:style w:type="paragraph" w:styleId="Revision">
    <w:name w:val="Revision"/>
    <w:hidden/>
    <w:uiPriority w:val="99"/>
    <w:semiHidden/>
    <w:rsid w:val="00164D62"/>
    <w:pPr>
      <w:spacing w:after="0" w:line="240" w:lineRule="auto"/>
    </w:pPr>
  </w:style>
  <w:style w:type="table" w:styleId="TableGrid">
    <w:name w:val="Table Grid"/>
    <w:basedOn w:val="TableNormal"/>
    <w:uiPriority w:val="39"/>
    <w:rsid w:val="0027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06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B2"/>
  </w:style>
  <w:style w:type="paragraph" w:styleId="Footer">
    <w:name w:val="footer"/>
    <w:basedOn w:val="Normal"/>
    <w:link w:val="FooterChar"/>
    <w:uiPriority w:val="99"/>
    <w:unhideWhenUsed/>
    <w:rsid w:val="001F06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B2"/>
  </w:style>
  <w:style w:type="character" w:styleId="PageNumber">
    <w:name w:val="page number"/>
    <w:basedOn w:val="DefaultParagraphFont"/>
    <w:uiPriority w:val="99"/>
    <w:semiHidden/>
    <w:unhideWhenUsed/>
    <w:rsid w:val="00645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4514">
      <w:bodyDiv w:val="1"/>
      <w:marLeft w:val="0"/>
      <w:marRight w:val="0"/>
      <w:marTop w:val="0"/>
      <w:marBottom w:val="0"/>
      <w:divBdr>
        <w:top w:val="none" w:sz="0" w:space="0" w:color="auto"/>
        <w:left w:val="none" w:sz="0" w:space="0" w:color="auto"/>
        <w:bottom w:val="none" w:sz="0" w:space="0" w:color="auto"/>
        <w:right w:val="none" w:sz="0" w:space="0" w:color="auto"/>
      </w:divBdr>
    </w:div>
    <w:div w:id="153422623">
      <w:bodyDiv w:val="1"/>
      <w:marLeft w:val="0"/>
      <w:marRight w:val="0"/>
      <w:marTop w:val="0"/>
      <w:marBottom w:val="0"/>
      <w:divBdr>
        <w:top w:val="none" w:sz="0" w:space="0" w:color="auto"/>
        <w:left w:val="none" w:sz="0" w:space="0" w:color="auto"/>
        <w:bottom w:val="none" w:sz="0" w:space="0" w:color="auto"/>
        <w:right w:val="none" w:sz="0" w:space="0" w:color="auto"/>
      </w:divBdr>
    </w:div>
    <w:div w:id="1009259490">
      <w:bodyDiv w:val="1"/>
      <w:marLeft w:val="0"/>
      <w:marRight w:val="0"/>
      <w:marTop w:val="0"/>
      <w:marBottom w:val="0"/>
      <w:divBdr>
        <w:top w:val="none" w:sz="0" w:space="0" w:color="auto"/>
        <w:left w:val="none" w:sz="0" w:space="0" w:color="auto"/>
        <w:bottom w:val="none" w:sz="0" w:space="0" w:color="auto"/>
        <w:right w:val="none" w:sz="0" w:space="0" w:color="auto"/>
      </w:divBdr>
    </w:div>
    <w:div w:id="1474560207">
      <w:bodyDiv w:val="1"/>
      <w:marLeft w:val="0"/>
      <w:marRight w:val="0"/>
      <w:marTop w:val="0"/>
      <w:marBottom w:val="0"/>
      <w:divBdr>
        <w:top w:val="none" w:sz="0" w:space="0" w:color="auto"/>
        <w:left w:val="none" w:sz="0" w:space="0" w:color="auto"/>
        <w:bottom w:val="none" w:sz="0" w:space="0" w:color="auto"/>
        <w:right w:val="none" w:sz="0" w:space="0" w:color="auto"/>
      </w:divBdr>
      <w:divsChild>
        <w:div w:id="1318263440">
          <w:marLeft w:val="0"/>
          <w:marRight w:val="0"/>
          <w:marTop w:val="0"/>
          <w:marBottom w:val="0"/>
          <w:divBdr>
            <w:top w:val="none" w:sz="0" w:space="0" w:color="auto"/>
            <w:left w:val="none" w:sz="0" w:space="0" w:color="auto"/>
            <w:bottom w:val="none" w:sz="0" w:space="0" w:color="auto"/>
            <w:right w:val="none" w:sz="0" w:space="0" w:color="auto"/>
          </w:divBdr>
          <w:divsChild>
            <w:div w:id="2095780614">
              <w:marLeft w:val="0"/>
              <w:marRight w:val="0"/>
              <w:marTop w:val="0"/>
              <w:marBottom w:val="0"/>
              <w:divBdr>
                <w:top w:val="none" w:sz="0" w:space="0" w:color="auto"/>
                <w:left w:val="none" w:sz="0" w:space="0" w:color="auto"/>
                <w:bottom w:val="none" w:sz="0" w:space="0" w:color="auto"/>
                <w:right w:val="none" w:sz="0" w:space="0" w:color="auto"/>
              </w:divBdr>
            </w:div>
          </w:divsChild>
        </w:div>
        <w:div w:id="505362742">
          <w:marLeft w:val="0"/>
          <w:marRight w:val="0"/>
          <w:marTop w:val="0"/>
          <w:marBottom w:val="0"/>
          <w:divBdr>
            <w:top w:val="none" w:sz="0" w:space="0" w:color="auto"/>
            <w:left w:val="none" w:sz="0" w:space="0" w:color="auto"/>
            <w:bottom w:val="none" w:sz="0" w:space="0" w:color="auto"/>
            <w:right w:val="none" w:sz="0" w:space="0" w:color="auto"/>
          </w:divBdr>
        </w:div>
      </w:divsChild>
    </w:div>
    <w:div w:id="1529489069">
      <w:bodyDiv w:val="1"/>
      <w:marLeft w:val="0"/>
      <w:marRight w:val="0"/>
      <w:marTop w:val="0"/>
      <w:marBottom w:val="0"/>
      <w:divBdr>
        <w:top w:val="none" w:sz="0" w:space="0" w:color="auto"/>
        <w:left w:val="none" w:sz="0" w:space="0" w:color="auto"/>
        <w:bottom w:val="none" w:sz="0" w:space="0" w:color="auto"/>
        <w:right w:val="none" w:sz="0" w:space="0" w:color="auto"/>
      </w:divBdr>
      <w:divsChild>
        <w:div w:id="1183008914">
          <w:marLeft w:val="0"/>
          <w:marRight w:val="0"/>
          <w:marTop w:val="0"/>
          <w:marBottom w:val="0"/>
          <w:divBdr>
            <w:top w:val="none" w:sz="0" w:space="0" w:color="auto"/>
            <w:left w:val="none" w:sz="0" w:space="0" w:color="auto"/>
            <w:bottom w:val="none" w:sz="0" w:space="0" w:color="auto"/>
            <w:right w:val="none" w:sz="0" w:space="0" w:color="auto"/>
          </w:divBdr>
          <w:divsChild>
            <w:div w:id="1650552178">
              <w:marLeft w:val="0"/>
              <w:marRight w:val="0"/>
              <w:marTop w:val="0"/>
              <w:marBottom w:val="0"/>
              <w:divBdr>
                <w:top w:val="none" w:sz="0" w:space="0" w:color="auto"/>
                <w:left w:val="none" w:sz="0" w:space="0" w:color="auto"/>
                <w:bottom w:val="none" w:sz="0" w:space="0" w:color="auto"/>
                <w:right w:val="none" w:sz="0" w:space="0" w:color="auto"/>
              </w:divBdr>
            </w:div>
          </w:divsChild>
        </w:div>
        <w:div w:id="601456401">
          <w:marLeft w:val="0"/>
          <w:marRight w:val="0"/>
          <w:marTop w:val="0"/>
          <w:marBottom w:val="0"/>
          <w:divBdr>
            <w:top w:val="none" w:sz="0" w:space="0" w:color="auto"/>
            <w:left w:val="none" w:sz="0" w:space="0" w:color="auto"/>
            <w:bottom w:val="none" w:sz="0" w:space="0" w:color="auto"/>
            <w:right w:val="none" w:sz="0" w:space="0" w:color="auto"/>
          </w:divBdr>
        </w:div>
      </w:divsChild>
    </w:div>
    <w:div w:id="2052725823">
      <w:bodyDiv w:val="1"/>
      <w:marLeft w:val="0"/>
      <w:marRight w:val="0"/>
      <w:marTop w:val="0"/>
      <w:marBottom w:val="0"/>
      <w:divBdr>
        <w:top w:val="none" w:sz="0" w:space="0" w:color="auto"/>
        <w:left w:val="none" w:sz="0" w:space="0" w:color="auto"/>
        <w:bottom w:val="none" w:sz="0" w:space="0" w:color="auto"/>
        <w:right w:val="none" w:sz="0" w:space="0" w:color="auto"/>
      </w:divBdr>
    </w:div>
    <w:div w:id="2068868621">
      <w:bodyDiv w:val="1"/>
      <w:marLeft w:val="0"/>
      <w:marRight w:val="0"/>
      <w:marTop w:val="0"/>
      <w:marBottom w:val="0"/>
      <w:divBdr>
        <w:top w:val="none" w:sz="0" w:space="0" w:color="auto"/>
        <w:left w:val="none" w:sz="0" w:space="0" w:color="auto"/>
        <w:bottom w:val="none" w:sz="0" w:space="0" w:color="auto"/>
        <w:right w:val="none" w:sz="0" w:space="0" w:color="auto"/>
      </w:divBdr>
      <w:divsChild>
        <w:div w:id="1516117053">
          <w:marLeft w:val="0"/>
          <w:marRight w:val="0"/>
          <w:marTop w:val="0"/>
          <w:marBottom w:val="0"/>
          <w:divBdr>
            <w:top w:val="none" w:sz="0" w:space="0" w:color="auto"/>
            <w:left w:val="none" w:sz="0" w:space="0" w:color="auto"/>
            <w:bottom w:val="none" w:sz="0" w:space="0" w:color="auto"/>
            <w:right w:val="none" w:sz="0" w:space="0" w:color="auto"/>
          </w:divBdr>
          <w:divsChild>
            <w:div w:id="510266675">
              <w:marLeft w:val="0"/>
              <w:marRight w:val="0"/>
              <w:marTop w:val="0"/>
              <w:marBottom w:val="0"/>
              <w:divBdr>
                <w:top w:val="none" w:sz="0" w:space="0" w:color="auto"/>
                <w:left w:val="none" w:sz="0" w:space="0" w:color="auto"/>
                <w:bottom w:val="none" w:sz="0" w:space="0" w:color="auto"/>
                <w:right w:val="none" w:sz="0" w:space="0" w:color="auto"/>
              </w:divBdr>
            </w:div>
          </w:divsChild>
        </w:div>
        <w:div w:id="1569807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1EC51-B099-7D4E-9223-9327CF6FF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1288</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Kingman</dc:creator>
  <cp:keywords/>
  <dc:description/>
  <cp:lastModifiedBy>Willy Martinez</cp:lastModifiedBy>
  <cp:revision>3</cp:revision>
  <dcterms:created xsi:type="dcterms:W3CDTF">2025-04-22T12:41:00Z</dcterms:created>
  <dcterms:modified xsi:type="dcterms:W3CDTF">2025-04-22T12:46:00Z</dcterms:modified>
</cp:coreProperties>
</file>